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655"/>
      </w:tblGrid>
      <w:tr w:rsidR="00E34EE3" w:rsidTr="001063FA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1063FA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C2053F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C2053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КОНТРОЛІНГ</w:t>
            </w: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1063FA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C60045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програми – </w:t>
            </w:r>
            <w:r w:rsidR="00C60045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  <w:bookmarkStart w:id="0" w:name="_GoBack"/>
            <w:bookmarkEnd w:id="0"/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205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  <w:r w:rsidR="00C2053F">
              <w:rPr>
                <w:rFonts w:ascii="Times New Roman" w:hAnsi="Times New Roman" w:cs="Times New Roman"/>
                <w:b/>
                <w:sz w:val="28"/>
                <w:szCs w:val="28"/>
              </w:rPr>
              <w:t>ів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E2923" w:rsidRPr="00E34EE3" w:rsidRDefault="00EE292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071 «Облік і оподаткування»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4815" w:type="dxa"/>
            <w:vAlign w:val="center"/>
          </w:tcPr>
          <w:p w:rsidR="00EF7B16" w:rsidRPr="001063FA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Танасієва Марина Миколаївна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економічний наук,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обліку, аналізу і аудиту </w:t>
            </w:r>
          </w:p>
          <w:p w:rsidR="000204E0" w:rsidRPr="001063FA" w:rsidRDefault="00C60045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2F3" w:rsidRPr="002957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http://econom.chnu.edu.ua/kafedry-ekonomichnogo-fakultetu/kafedra-obliku-analizu-i-audytu/kolektyv-kafedry/tanasiyeva-maryna-mykolayivna</w:t>
              </w:r>
            </w:hyperlink>
            <w:r w:rsidR="0098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+38(0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9669932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15" w:type="dxa"/>
            <w:vAlign w:val="center"/>
          </w:tcPr>
          <w:p w:rsidR="00EF7B16" w:rsidRPr="001063FA" w:rsidRDefault="00C60045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m.tanasiyeva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chnu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8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4815" w:type="dxa"/>
            <w:vAlign w:val="center"/>
          </w:tcPr>
          <w:p w:rsidR="00EF7B16" w:rsidRPr="00AC76F0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4815" w:type="dxa"/>
            <w:vAlign w:val="center"/>
          </w:tcPr>
          <w:p w:rsidR="00EF7B16" w:rsidRPr="009852F3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C2053F" w:rsidRPr="00C2053F" w:rsidRDefault="00C2053F" w:rsidP="00C2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3F">
        <w:rPr>
          <w:rFonts w:ascii="Times New Roman" w:hAnsi="Times New Roman" w:cs="Times New Roman"/>
          <w:sz w:val="28"/>
          <w:szCs w:val="28"/>
        </w:rPr>
        <w:t>Сучасні кризові соціально-політичні та економічні умови функціонування суб’єктів господарюванні, з одночасною світовою  глобалізацією ринків збуту та прагненням України до асоціації з Європейським Союзом, визначають високий рівень вимог до системи управління підприємства. Особливо до можливостей негайної адаптації управлінського персоналу сучасним викликам економіки країни. Однією з основ сучасної практики управління є те, що підприємство досягає цілей, організовуючи та управляючи своїми бізнес-процесами, які постійно мають змінюватись відповідно до умов зовнішнього середовища. У зв’язку з цим першочергового значення набувають питання формування і реалізації принципів системно-процесного управління підприємством. Контролінг – це система управління досягненням цілей і невід’ємна частина управління підприємством. На відміну від інших дисциплін контролінг, є синтетичною дисципліною, яка базується і розвивається на основі концепцій менеджменту, маркетингу, обліку, планування та аналізу. Крім того, вона спрямована на формування у студентів навичок і знань, необхідних для застосування методичного інструментарію контролінгу для прийняття управлінських рішень, займає важливе місце у системі підготовки фахівців з обліку і оподаткування.</w:t>
      </w:r>
    </w:p>
    <w:p w:rsidR="00C2053F" w:rsidRPr="00C2053F" w:rsidRDefault="00C2053F" w:rsidP="00C20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3F">
        <w:rPr>
          <w:rFonts w:ascii="Times New Roman" w:hAnsi="Times New Roman" w:cs="Times New Roman"/>
          <w:sz w:val="28"/>
          <w:szCs w:val="28"/>
        </w:rPr>
        <w:t xml:space="preserve">Мета навчальної дисципліни «Контролінг»: </w:t>
      </w:r>
      <w:r w:rsidRPr="00C2053F">
        <w:rPr>
          <w:rFonts w:ascii="Times New Roman" w:hAnsi="Times New Roman" w:cs="Times New Roman"/>
          <w:spacing w:val="2"/>
          <w:sz w:val="28"/>
          <w:szCs w:val="28"/>
        </w:rPr>
        <w:t xml:space="preserve">оволодіння теоретичними знаннями та набуття практичних навичок </w:t>
      </w:r>
      <w:r w:rsidRPr="00C2053F">
        <w:rPr>
          <w:rFonts w:ascii="Times New Roman" w:hAnsi="Times New Roman" w:cs="Times New Roman"/>
          <w:sz w:val="28"/>
          <w:szCs w:val="28"/>
        </w:rPr>
        <w:t>з концептуальних засад та організаційно-методичних основ функціонування системи контролінгу на підприємстві для формування всебічного якісного інформаційного забезпечення у галузі управління та адміністрування.</w:t>
      </w:r>
    </w:p>
    <w:p w:rsidR="009B2B9B" w:rsidRDefault="009B2B9B" w:rsidP="00AC76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6F0" w:rsidRDefault="00AC76F0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C2053F" w:rsidTr="00CF0C89">
        <w:tc>
          <w:tcPr>
            <w:tcW w:w="9629" w:type="dxa"/>
            <w:gridSpan w:val="2"/>
            <w:vAlign w:val="center"/>
          </w:tcPr>
          <w:p w:rsidR="002E5CD8" w:rsidRPr="00C2053F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1063FA" w:rsidRPr="00C205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C2053F" w:rsidRPr="00C2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ТЕОРЕТИКО-ОРГАНІЗАЦІЙНІ ЗАСАДИ КОНТРОЛІНГУ</w:t>
            </w:r>
          </w:p>
        </w:tc>
      </w:tr>
      <w:tr w:rsidR="00C2053F" w:rsidRPr="00C2053F" w:rsidTr="00DB134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Контролінг: сутність, функції, види та основні завдання</w:t>
            </w:r>
          </w:p>
        </w:tc>
      </w:tr>
      <w:tr w:rsidR="00C2053F" w:rsidRPr="00C2053F" w:rsidTr="00DB134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Характеристика об’єктів контролінгу та класифікація інформаційних систем</w:t>
            </w:r>
          </w:p>
        </w:tc>
      </w:tr>
      <w:tr w:rsidR="00C2053F" w:rsidRPr="00C2053F" w:rsidTr="00DB134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Управлінський облік як основа контролінгу</w:t>
            </w:r>
          </w:p>
        </w:tc>
      </w:tr>
      <w:tr w:rsidR="00C2053F" w:rsidRPr="00C2053F" w:rsidTr="00DB134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Бюджетування як інструмент контролінгу в реалізації функцій планування, контролю і регулювання</w:t>
            </w:r>
          </w:p>
        </w:tc>
      </w:tr>
      <w:tr w:rsidR="002E5CD8" w:rsidRPr="00C2053F" w:rsidTr="00BA3E8D">
        <w:tc>
          <w:tcPr>
            <w:tcW w:w="9629" w:type="dxa"/>
            <w:gridSpan w:val="2"/>
            <w:vAlign w:val="center"/>
          </w:tcPr>
          <w:p w:rsidR="002E5CD8" w:rsidRPr="00C2053F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1063FA" w:rsidRPr="00C205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C2053F" w:rsidRPr="00C20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МЕТОДИЧНІ ЗАСАДИ КОНТРОЛІНГУ</w:t>
            </w:r>
          </w:p>
        </w:tc>
      </w:tr>
      <w:tr w:rsidR="00C2053F" w:rsidRPr="00C2053F" w:rsidTr="005A1FD5">
        <w:tc>
          <w:tcPr>
            <w:tcW w:w="1413" w:type="dxa"/>
            <w:vAlign w:val="center"/>
          </w:tcPr>
          <w:p w:rsidR="00C2053F" w:rsidRPr="00C2053F" w:rsidRDefault="00C2053F" w:rsidP="005A1FD5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Методичний інструментарій оперативного контролінгу</w:t>
            </w:r>
          </w:p>
        </w:tc>
      </w:tr>
      <w:tr w:rsidR="00C2053F" w:rsidRPr="00C2053F" w:rsidTr="00F25023">
        <w:tc>
          <w:tcPr>
            <w:tcW w:w="1413" w:type="dxa"/>
            <w:vAlign w:val="center"/>
          </w:tcPr>
          <w:p w:rsidR="00C2053F" w:rsidRPr="00C2053F" w:rsidRDefault="00C2053F" w:rsidP="000068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Експертна діагностика фінансово-господарського стану підприємства</w:t>
            </w:r>
          </w:p>
        </w:tc>
      </w:tr>
      <w:tr w:rsidR="00C2053F" w:rsidRPr="00C2053F" w:rsidTr="00F2502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Контролінг інвестиційних проектів</w:t>
            </w:r>
          </w:p>
        </w:tc>
      </w:tr>
      <w:tr w:rsidR="00C2053F" w:rsidRPr="00C2053F" w:rsidTr="00F2502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Організаційно-методичні основи формування та функціонування системи контролінгу на підприємстві</w:t>
            </w:r>
          </w:p>
        </w:tc>
      </w:tr>
      <w:tr w:rsidR="00C2053F" w:rsidRPr="00C2053F" w:rsidTr="00F25023">
        <w:tc>
          <w:tcPr>
            <w:tcW w:w="1413" w:type="dxa"/>
            <w:vAlign w:val="center"/>
          </w:tcPr>
          <w:p w:rsidR="00C2053F" w:rsidRPr="00C2053F" w:rsidRDefault="00C2053F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216" w:type="dxa"/>
          </w:tcPr>
          <w:p w:rsidR="00C2053F" w:rsidRPr="00C2053F" w:rsidRDefault="00C2053F" w:rsidP="006B574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053F">
              <w:rPr>
                <w:rFonts w:ascii="Times New Roman" w:hAnsi="Times New Roman" w:cs="Times New Roman"/>
                <w:sz w:val="24"/>
                <w:szCs w:val="24"/>
              </w:rPr>
              <w:t>Контролінг у системі прийняття управлінських рішень</w:t>
            </w:r>
          </w:p>
        </w:tc>
      </w:tr>
    </w:tbl>
    <w:p w:rsidR="009B2B9B" w:rsidRDefault="009B2B9B" w:rsidP="009B2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t>Освітні технології, форми та методи навчання</w:t>
      </w:r>
    </w:p>
    <w:p w:rsidR="009B2B9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>У процесі вивчення навчальної дисципліни використовуються освітні технології інтенсифікації навчання на основі опорних схем і моде</w:t>
      </w:r>
      <w:r w:rsidR="004139CC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spellStart"/>
      <w:r w:rsidR="004139CC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4139CC">
        <w:rPr>
          <w:rFonts w:ascii="Times New Roman" w:hAnsi="Times New Roman" w:cs="Times New Roman"/>
          <w:sz w:val="28"/>
          <w:szCs w:val="28"/>
        </w:rPr>
        <w:t>-блочного навчання</w:t>
      </w:r>
      <w:r w:rsidRPr="00C407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пояснення, розповідь та інші);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практичні методи (семінари, практичні та ситуаційні завдання)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 xml:space="preserve"> наочні методи (презентація, демонстрація, ілюстрація);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проблемно-пошукові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самостійна робота над індивідуальним завданням за програмою навчальної дисципліни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672B4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завдань.</w:t>
      </w:r>
    </w:p>
    <w:p w:rsidR="002E5CD8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контроль: </w:t>
      </w:r>
      <w:r w:rsidR="00874AB2">
        <w:rPr>
          <w:rFonts w:ascii="Times New Roman" w:hAnsi="Times New Roman" w:cs="Times New Roman"/>
          <w:sz w:val="28"/>
          <w:szCs w:val="28"/>
        </w:rPr>
        <w:t>залік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lastRenderedPageBreak/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10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1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України:</w:t>
      </w:r>
    </w:p>
    <w:p w:rsidR="00486B62" w:rsidRPr="005910A5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5910A5">
        <w:rPr>
          <w:sz w:val="28"/>
        </w:rPr>
        <w:t>Офіційний</w:t>
      </w:r>
      <w:r>
        <w:rPr>
          <w:sz w:val="28"/>
        </w:rPr>
        <w:t xml:space="preserve"> </w:t>
      </w:r>
      <w:r w:rsidRPr="005910A5">
        <w:rPr>
          <w:sz w:val="28"/>
        </w:rPr>
        <w:t>сайт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Верховної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5910A5">
        <w:rPr>
          <w:sz w:val="28"/>
        </w:rPr>
        <w:t>URL:</w:t>
      </w:r>
      <w:r>
        <w:rPr>
          <w:sz w:val="28"/>
          <w:szCs w:val="28"/>
        </w:rPr>
        <w:t xml:space="preserve"> </w:t>
      </w:r>
      <w:hyperlink r:id="rId12" w:history="1">
        <w:r w:rsidRPr="00835E10">
          <w:rPr>
            <w:rStyle w:val="a7"/>
            <w:sz w:val="28"/>
          </w:rPr>
          <w:t>www.rada.gov.ua</w:t>
        </w:r>
        <w:r w:rsidRPr="00835E10">
          <w:rPr>
            <w:rStyle w:val="a7"/>
            <w:sz w:val="28"/>
            <w:lang w:val="en-US"/>
          </w:rPr>
          <w:t>/</w:t>
        </w:r>
      </w:hyperlink>
      <w:r w:rsidRPr="005910A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Кабінету Міністрів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3" w:history="1">
        <w:r w:rsidRPr="00835E10">
          <w:rPr>
            <w:rStyle w:val="a7"/>
            <w:sz w:val="28"/>
          </w:rPr>
          <w:t>https://www.kmu.gov.ua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казначейської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4" w:history="1">
        <w:r w:rsidRPr="00835E10">
          <w:rPr>
            <w:rStyle w:val="a7"/>
            <w:sz w:val="28"/>
          </w:rPr>
          <w:t>https://www.treasury.gov.ua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митної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5" w:history="1">
        <w:r w:rsidRPr="00835E10">
          <w:rPr>
            <w:rStyle w:val="a7"/>
            <w:sz w:val="28"/>
          </w:rPr>
          <w:t>https://customs.gov.ua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податкової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6" w:history="1">
        <w:r w:rsidRPr="00835E10">
          <w:rPr>
            <w:rStyle w:val="a7"/>
            <w:sz w:val="28"/>
          </w:rPr>
          <w:t>https://tax.gov.ua</w:t>
        </w:r>
      </w:hyperlink>
      <w:r>
        <w:rPr>
          <w:sz w:val="28"/>
        </w:rPr>
        <w:t xml:space="preserve">. </w:t>
      </w:r>
    </w:p>
    <w:p w:rsidR="00F603A2" w:rsidRPr="00AD148B" w:rsidRDefault="00486B62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486B62">
        <w:rPr>
          <w:sz w:val="28"/>
        </w:rPr>
        <w:t>Офіційний сайт</w:t>
      </w:r>
      <w:r w:rsidRPr="00486B62">
        <w:rPr>
          <w:sz w:val="28"/>
          <w:szCs w:val="28"/>
        </w:rPr>
        <w:t xml:space="preserve"> Міністерства фінансів України. </w:t>
      </w:r>
      <w:r w:rsidRPr="00486B62">
        <w:rPr>
          <w:sz w:val="28"/>
        </w:rPr>
        <w:t xml:space="preserve">URL: </w:t>
      </w:r>
      <w:hyperlink r:id="rId17" w:history="1">
        <w:r w:rsidRPr="00486B62">
          <w:rPr>
            <w:rStyle w:val="a7"/>
            <w:sz w:val="28"/>
            <w:szCs w:val="28"/>
          </w:rPr>
          <w:t>www.minfin.gov.ua</w:t>
        </w:r>
      </w:hyperlink>
      <w:r w:rsidRPr="00486B62">
        <w:rPr>
          <w:sz w:val="28"/>
        </w:rPr>
        <w:t xml:space="preserve">. </w:t>
      </w:r>
    </w:p>
    <w:p w:rsidR="00AD148B" w:rsidRPr="00AD148B" w:rsidRDefault="00AD148B" w:rsidP="00AD148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6646F0">
        <w:rPr>
          <w:sz w:val="28"/>
          <w:szCs w:val="28"/>
        </w:rPr>
        <w:t>Офіційний сайт Міністерства економіки України</w:t>
      </w:r>
      <w:r>
        <w:rPr>
          <w:sz w:val="28"/>
          <w:szCs w:val="28"/>
        </w:rPr>
        <w:t>.</w:t>
      </w:r>
      <w:r w:rsidRPr="006646F0">
        <w:rPr>
          <w:sz w:val="28"/>
        </w:rPr>
        <w:t xml:space="preserve"> </w:t>
      </w:r>
      <w:r w:rsidRPr="00486B62">
        <w:rPr>
          <w:sz w:val="28"/>
        </w:rPr>
        <w:t>URL:</w:t>
      </w:r>
      <w:r w:rsidRPr="006646F0">
        <w:rPr>
          <w:sz w:val="28"/>
          <w:szCs w:val="28"/>
        </w:rPr>
        <w:t xml:space="preserve"> </w:t>
      </w:r>
      <w:hyperlink r:id="rId18" w:history="1">
        <w:r w:rsidRPr="006646F0">
          <w:rPr>
            <w:rStyle w:val="a7"/>
            <w:sz w:val="28"/>
            <w:szCs w:val="28"/>
          </w:rPr>
          <w:t>https://www.me.gov.ua</w:t>
        </w:r>
      </w:hyperlink>
      <w:r>
        <w:rPr>
          <w:rStyle w:val="a7"/>
          <w:sz w:val="28"/>
          <w:szCs w:val="28"/>
        </w:rPr>
        <w:t>.</w:t>
      </w: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62" w:rsidRDefault="00486B6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37A07"/>
    <w:multiLevelType w:val="hybridMultilevel"/>
    <w:tmpl w:val="FBD8293C"/>
    <w:lvl w:ilvl="0" w:tplc="704EB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204E0"/>
    <w:rsid w:val="00050A90"/>
    <w:rsid w:val="001063FA"/>
    <w:rsid w:val="002E5CD8"/>
    <w:rsid w:val="004139CC"/>
    <w:rsid w:val="00427B40"/>
    <w:rsid w:val="00486B62"/>
    <w:rsid w:val="005961AA"/>
    <w:rsid w:val="00672B4B"/>
    <w:rsid w:val="006A0000"/>
    <w:rsid w:val="00874AB2"/>
    <w:rsid w:val="009852F3"/>
    <w:rsid w:val="009B2B9B"/>
    <w:rsid w:val="00AC76F0"/>
    <w:rsid w:val="00AD148B"/>
    <w:rsid w:val="00C2053F"/>
    <w:rsid w:val="00C60045"/>
    <w:rsid w:val="00D3198C"/>
    <w:rsid w:val="00D96168"/>
    <w:rsid w:val="00E34EE3"/>
    <w:rsid w:val="00EC155A"/>
    <w:rsid w:val="00EE2923"/>
    <w:rsid w:val="00EE6408"/>
    <w:rsid w:val="00EF7B16"/>
    <w:rsid w:val="00F1290D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rsid w:val="00AC76F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6F0"/>
    <w:pPr>
      <w:widowControl w:val="0"/>
      <w:shd w:val="clear" w:color="auto" w:fill="FFFFFF"/>
      <w:spacing w:after="0" w:line="451" w:lineRule="exact"/>
      <w:ind w:hanging="400"/>
      <w:jc w:val="both"/>
    </w:pPr>
    <w:rPr>
      <w:sz w:val="26"/>
      <w:szCs w:val="26"/>
    </w:rPr>
  </w:style>
  <w:style w:type="paragraph" w:customStyle="1" w:styleId="1">
    <w:name w:val="Абзац списка1"/>
    <w:basedOn w:val="a"/>
    <w:rsid w:val="00C205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rsid w:val="00AC76F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76F0"/>
    <w:pPr>
      <w:widowControl w:val="0"/>
      <w:shd w:val="clear" w:color="auto" w:fill="FFFFFF"/>
      <w:spacing w:after="0" w:line="451" w:lineRule="exact"/>
      <w:ind w:hanging="400"/>
      <w:jc w:val="both"/>
    </w:pPr>
    <w:rPr>
      <w:sz w:val="26"/>
      <w:szCs w:val="26"/>
    </w:rPr>
  </w:style>
  <w:style w:type="paragraph" w:customStyle="1" w:styleId="1">
    <w:name w:val="Абзац списка1"/>
    <w:basedOn w:val="a"/>
    <w:rsid w:val="00C205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nasiyeva@chnu.edu.ua" TargetMode="External"/><Relationship Id="rId13" Type="http://schemas.openxmlformats.org/officeDocument/2006/relationships/hyperlink" Target="https://www.kmu.gov.ua" TargetMode="External"/><Relationship Id="rId18" Type="http://schemas.openxmlformats.org/officeDocument/2006/relationships/hyperlink" Target="https://www.me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nom.chnu.edu.ua/kafedry-ekonomichnogo-fakultetu/kafedra-obliku-analizu-i-audytu/kolektyv-kafedry/tanasiyeva-maryna-mykolayivna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://www.minfi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x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er.ch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stoms.gov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www.treasu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3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dcterms:created xsi:type="dcterms:W3CDTF">2024-08-07T10:36:00Z</dcterms:created>
  <dcterms:modified xsi:type="dcterms:W3CDTF">2024-08-25T09:37:00Z</dcterms:modified>
</cp:coreProperties>
</file>