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Чернівецький національний університет імені Юрія </w:t>
      </w:r>
      <w:proofErr w:type="spellStart"/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Федьковича</w:t>
      </w:r>
      <w:proofErr w:type="spellEnd"/>
    </w:p>
    <w:p w:rsidR="007820FF" w:rsidRPr="007820FF" w:rsidRDefault="007820FF" w:rsidP="007820FF">
      <w:pPr>
        <w:jc w:val="center"/>
        <w:rPr>
          <w:rFonts w:ascii="Times New Roman" w:hAnsi="Times New Roman" w:cs="Times New Roman"/>
          <w:sz w:val="18"/>
          <w:szCs w:val="18"/>
        </w:rPr>
      </w:pPr>
      <w:r w:rsidRPr="007820FF">
        <w:rPr>
          <w:rFonts w:ascii="Times New Roman" w:hAnsi="Times New Roman" w:cs="Times New Roman"/>
          <w:sz w:val="18"/>
          <w:szCs w:val="18"/>
        </w:rPr>
        <w:t>(повне найменування закладу вищої освіти)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Економічний факультет</w:t>
      </w:r>
    </w:p>
    <w:p w:rsidR="00544EAB" w:rsidRPr="00544EAB" w:rsidRDefault="007941E2" w:rsidP="00544EAB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544EAB" w:rsidRPr="00544EAB">
        <w:rPr>
          <w:rFonts w:ascii="Times New Roman" w:hAnsi="Times New Roman" w:cs="Times New Roman"/>
          <w:sz w:val="18"/>
          <w:szCs w:val="18"/>
        </w:rPr>
        <w:t>(назва факультету/навчально-наукового інституту)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1E2" w:rsidRPr="007941E2" w:rsidRDefault="007941E2" w:rsidP="0079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941E2" w:rsidRPr="007941E2" w:rsidRDefault="007941E2" w:rsidP="007941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7941E2" w:rsidRDefault="007941E2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941E2" w:rsidRDefault="000537DB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="0033135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УПРАВЛІНСЬКИЙ ОБЛІК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0537DB" w:rsidRDefault="00AD6075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 w:rsidR="007941E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навчальної дисципліни)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AD6075" w:rsidRPr="000537DB" w:rsidRDefault="000537DB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0537D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обов’язкова</w:t>
      </w:r>
      <w:r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7C3E86" w:rsidRPr="007C3E86" w:rsidRDefault="007C3E86" w:rsidP="007C3E86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7C3E86" w:rsidRPr="007C3E86" w:rsidRDefault="007C3E86" w:rsidP="007C3E8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039E" w:rsidRPr="007C3E86" w:rsidRDefault="00293262" w:rsidP="00293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="007C3E86"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spellStart"/>
      <w:r w:rsid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 w:rsid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="007C3E86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="000F039E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доцент кафедри обліку, </w:t>
      </w:r>
    </w:p>
    <w:p w:rsidR="000F039E" w:rsidRPr="007C3E86" w:rsidRDefault="000F039E" w:rsidP="00293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7C3E86" w:rsidRPr="007C3E86" w:rsidRDefault="007C3E86" w:rsidP="000F039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авторів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посад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281B83" w:rsidRPr="003129DF" w:rsidRDefault="00105634" w:rsidP="003129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5" w:history="1">
        <w:r w:rsidR="00281B83" w:rsidRPr="00EA272B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(посилання на сторінку кафедри </w:t>
      </w:r>
      <w:r w:rsidR="00F5295D"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</w:t>
      </w:r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інформацією про викладача (-</w:t>
      </w:r>
      <w:proofErr w:type="spellStart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ів</w:t>
      </w:r>
      <w:proofErr w:type="spellEnd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))</w:t>
      </w:r>
    </w:p>
    <w:p w:rsidR="00281B83" w:rsidRPr="00EA272B" w:rsidRDefault="00281B83" w:rsidP="00281B83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81B83" w:rsidRPr="00EA272B" w:rsidRDefault="00105634" w:rsidP="00281B83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281B83" w:rsidRPr="00796C18" w:rsidRDefault="00105634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="00281B83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chu</w:t>
      </w:r>
      <w:proofErr w:type="spellEnd"/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proofErr w:type="spellEnd"/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  <w:proofErr w:type="spellEnd"/>
    </w:p>
    <w:p w:rsidR="00D66021" w:rsidRPr="00EA272B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366C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hyperlink r:id="rId6" w:history="1">
        <w:r w:rsidR="000856F8" w:rsidRPr="004E77EC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https://moodle.chnu.edu.ua/course/view.php?id=490</w:t>
        </w:r>
      </w:hyperlink>
      <w:r w:rsidR="000856F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4366C9" w:rsidRPr="00EA272B" w:rsidRDefault="00105634" w:rsidP="003521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3521D8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Онлайн-консультації: </w:t>
      </w:r>
      <w:r w:rsidR="00BD1DB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="0029326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F5295D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3450A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Очні консультації</w:t>
      </w:r>
      <w:r w:rsidR="003521D8" w:rsidRPr="003450A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:</w:t>
      </w:r>
      <w:r w:rsidR="003521D8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</w:t>
      </w:r>
      <w:r w:rsidR="00BD1DB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</w:t>
      </w:r>
      <w:r w:rsidR="00D0078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за графіком</w:t>
      </w:r>
    </w:p>
    <w:p w:rsidR="003129DF" w:rsidRPr="00ED3817" w:rsidRDefault="003129DF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F77798" w:rsidRPr="00655D2C" w:rsidRDefault="00F77798" w:rsidP="00655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дисципліни (призначення навчальної дисципліни).</w:t>
      </w:r>
    </w:p>
    <w:p w:rsidR="004825FC" w:rsidRDefault="004825FC" w:rsidP="00655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AA7566" w:rsidRPr="00655D2C" w:rsidRDefault="004825FC" w:rsidP="00047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Навчальна д</w:t>
      </w:r>
      <w:r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исципліна</w:t>
      </w: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Управлінський облік</w:t>
      </w: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</w:t>
      </w:r>
      <w:r w:rsidRPr="00CE06C9">
        <w:t xml:space="preserve"> </w:t>
      </w:r>
      <w:r w:rsidRPr="00CE06C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є обов’язковою складовою навчального плану циклу дисциплін професійної підготовки, яка сприяє підготовці фахівців першого (бакалаврського) рівня спеціальності 071 «Облік і оподаткування». Дисципліна «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Управлінський облік</w:t>
      </w:r>
      <w:r w:rsidRPr="00CE06C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 (</w:t>
      </w:r>
      <w:r w:rsidR="00DC02B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ППО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DC02B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19</w:t>
      </w:r>
      <w:r w:rsidRPr="00CE06C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) викладається на </w:t>
      </w:r>
      <w:r w:rsidR="00047E9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четвертому</w:t>
      </w:r>
      <w:r w:rsidRPr="00CE06C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курсі у </w:t>
      </w:r>
      <w:r w:rsidR="00103ACF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VII</w:t>
      </w:r>
      <w:r w:rsidRPr="00CE06C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семестрі,</w:t>
      </w: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спрямована на ознайомлення здобувачів із</w:t>
      </w:r>
      <w:r w:rsidR="00047E9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A7566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сферою знань і сферою діяльності, що пов’язана з формуванням і використанням економічної інформації для управління всередині господарюючого суб’єкта. </w:t>
      </w:r>
      <w:r w:rsidR="00DE0199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Управлінський облік</w:t>
      </w:r>
      <w:r w:rsidR="00AA7566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призначений для надання </w:t>
      </w:r>
      <w:r w:rsidR="00DE0199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достовірної і повної інформації</w:t>
      </w:r>
      <w:r w:rsidR="00AA7566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необхідн</w:t>
      </w:r>
      <w:r w:rsidR="00DE0199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ої</w:t>
      </w:r>
      <w:r w:rsidR="00AA7566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для прийняття </w:t>
      </w:r>
      <w:r w:rsidR="00DE0199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обґрунтованих</w:t>
      </w:r>
      <w:r w:rsidR="00AA7566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та ефективних управлінських рішень, які можуть вплинути на отримання кінцевого фінансового результату діяльності підприємства та зміцнити </w:t>
      </w:r>
      <w:r w:rsidR="006E2CE2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його </w:t>
      </w:r>
      <w:r w:rsidR="00AA7566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репутацію на ринку</w:t>
      </w:r>
      <w:r w:rsidR="00DE0199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  <w:r w:rsidR="00AA7566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6E2CE2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</w:t>
      </w:r>
      <w:r w:rsidR="00AA7566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икористовуючи зовнішню та внутрішню інформацію, </w:t>
      </w:r>
      <w:r w:rsidR="006E2CE2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управлінський облік </w:t>
      </w:r>
      <w:r w:rsidR="00AA7566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забезпечує </w:t>
      </w:r>
      <w:r w:rsidR="00194372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не тільки </w:t>
      </w:r>
      <w:r w:rsidR="00AA7566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потреби виробництва, а</w:t>
      </w:r>
      <w:r w:rsidR="00194372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ле</w:t>
      </w:r>
      <w:r w:rsidR="00AA7566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й маркетингу, управління ресурсами та інши</w:t>
      </w:r>
      <w:r w:rsidR="00194372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х</w:t>
      </w:r>
      <w:r w:rsidR="00AA7566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напрямів бізнесу</w:t>
      </w:r>
      <w:r w:rsidR="00097C08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AA7566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забезпечує розробку управлінських рішень</w:t>
      </w:r>
      <w:r w:rsidR="00097C08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FC1194" w:rsidRPr="00655D2C" w:rsidRDefault="00AA7566" w:rsidP="00655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Призначення навчальної д</w:t>
      </w:r>
      <w:r w:rsidR="00BD1DB9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исциплін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</w:t>
      </w:r>
      <w:r w:rsidR="00BD1DB9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«</w:t>
      </w:r>
      <w:r w:rsidR="00B3264C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Управлінський облік</w:t>
      </w:r>
      <w:r w:rsidR="00BD1DB9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</w:t>
      </w:r>
      <w:r w:rsidR="00C64DF4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полягає в </w:t>
      </w:r>
      <w:r w:rsidR="009D763A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оволодінн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</w:t>
      </w:r>
      <w:r w:rsidR="009D763A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метод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ами</w:t>
      </w:r>
      <w:r w:rsidR="009D763A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раціональної організації та ведення управлінського обліку на підприємствах на підставі використання прогресивних підходів зарубіжних країн; набутт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</w:t>
      </w:r>
      <w:r w:rsidR="009D763A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навичок опрацювання і використання облікової інформації в управлінні.</w:t>
      </w:r>
    </w:p>
    <w:p w:rsidR="002F3E8F" w:rsidRPr="00655D2C" w:rsidRDefault="00F77798" w:rsidP="0065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E932BE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формування системи наукових знань з організації і методики управлінського обліку, його вдосконалення з урахуванням передового зарубіжного та вітчизняного досвіду як основи прийняття ефективних управлінських рішень.</w:t>
      </w:r>
    </w:p>
    <w:p w:rsidR="00832B9C" w:rsidRDefault="003D3952" w:rsidP="00DE3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F77798"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54C38" w:rsidRPr="00A54C38">
        <w:rPr>
          <w:rFonts w:ascii="Times New Roman" w:hAnsi="Times New Roman" w:cs="Times New Roman"/>
          <w:sz w:val="24"/>
          <w:szCs w:val="24"/>
        </w:rPr>
        <w:t>Навчальна дисципліна «</w:t>
      </w:r>
      <w:r w:rsidR="00A54C38">
        <w:rPr>
          <w:rFonts w:ascii="Times New Roman" w:hAnsi="Times New Roman" w:cs="Times New Roman"/>
          <w:sz w:val="24"/>
          <w:szCs w:val="24"/>
        </w:rPr>
        <w:t>Управлінський облік</w:t>
      </w:r>
      <w:r w:rsidR="00A54C38" w:rsidRPr="00A54C38">
        <w:rPr>
          <w:rFonts w:ascii="Times New Roman" w:hAnsi="Times New Roman" w:cs="Times New Roman"/>
          <w:sz w:val="24"/>
          <w:szCs w:val="24"/>
        </w:rPr>
        <w:t>» відповідно до структурно-логічної схеми освітньо-професійної програми слухається здобувачами освіти в сьомому семестрі четвертого року навчання на підставі вивчення таких навчальних дисциплін</w:t>
      </w:r>
      <w:r w:rsidR="004B7A93" w:rsidRPr="00655D2C">
        <w:rPr>
          <w:rFonts w:ascii="Times New Roman" w:hAnsi="Times New Roman" w:cs="Times New Roman"/>
          <w:sz w:val="24"/>
          <w:szCs w:val="24"/>
        </w:rPr>
        <w:t>:</w:t>
      </w:r>
      <w:r w:rsidR="00796C18" w:rsidRPr="00655D2C">
        <w:rPr>
          <w:rFonts w:ascii="Times New Roman" w:hAnsi="Times New Roman" w:cs="Times New Roman"/>
          <w:sz w:val="24"/>
          <w:szCs w:val="24"/>
        </w:rPr>
        <w:t xml:space="preserve"> «Бухгалтерський облік</w:t>
      </w:r>
      <w:r w:rsidR="00C56E8C" w:rsidRPr="00655D2C">
        <w:rPr>
          <w:rFonts w:ascii="Times New Roman" w:hAnsi="Times New Roman" w:cs="Times New Roman"/>
          <w:sz w:val="24"/>
          <w:szCs w:val="24"/>
        </w:rPr>
        <w:t xml:space="preserve"> (теорія)</w:t>
      </w:r>
      <w:r w:rsidR="00DC02BC">
        <w:rPr>
          <w:rFonts w:ascii="Times New Roman" w:hAnsi="Times New Roman" w:cs="Times New Roman"/>
          <w:sz w:val="24"/>
          <w:szCs w:val="24"/>
        </w:rPr>
        <w:t>»,</w:t>
      </w:r>
      <w:r w:rsidR="002F3E8F" w:rsidRPr="00655D2C">
        <w:rPr>
          <w:rFonts w:ascii="Times New Roman" w:hAnsi="Times New Roman" w:cs="Times New Roman"/>
          <w:sz w:val="24"/>
          <w:szCs w:val="24"/>
        </w:rPr>
        <w:t xml:space="preserve"> «Фінансовий облік 1»</w:t>
      </w:r>
      <w:r w:rsidR="004B7A93" w:rsidRPr="00655D2C">
        <w:rPr>
          <w:rFonts w:ascii="Times New Roman" w:hAnsi="Times New Roman" w:cs="Times New Roman"/>
          <w:sz w:val="24"/>
          <w:szCs w:val="24"/>
        </w:rPr>
        <w:t>, «Фінансовий облік 2»</w:t>
      </w:r>
      <w:r w:rsidR="00011384" w:rsidRPr="00655D2C">
        <w:rPr>
          <w:rFonts w:ascii="Times New Roman" w:hAnsi="Times New Roman" w:cs="Times New Roman"/>
          <w:sz w:val="24"/>
          <w:szCs w:val="24"/>
        </w:rPr>
        <w:t>, «Звітність підприємств».</w:t>
      </w:r>
      <w:r w:rsidR="00DE3FC0">
        <w:rPr>
          <w:rFonts w:ascii="Times New Roman" w:hAnsi="Times New Roman" w:cs="Times New Roman"/>
          <w:sz w:val="24"/>
          <w:szCs w:val="24"/>
        </w:rPr>
        <w:t xml:space="preserve"> </w:t>
      </w:r>
      <w:r w:rsidR="00832B9C" w:rsidRPr="00655D2C">
        <w:rPr>
          <w:rFonts w:ascii="Times New Roman" w:hAnsi="Times New Roman" w:cs="Times New Roman"/>
          <w:sz w:val="24"/>
          <w:szCs w:val="24"/>
        </w:rPr>
        <w:t>Разом із цією дисципліною вивча</w:t>
      </w:r>
      <w:r w:rsidR="00545DD1" w:rsidRPr="00655D2C">
        <w:rPr>
          <w:rFonts w:ascii="Times New Roman" w:hAnsi="Times New Roman" w:cs="Times New Roman"/>
          <w:sz w:val="24"/>
          <w:szCs w:val="24"/>
        </w:rPr>
        <w:t>є</w:t>
      </w:r>
      <w:r w:rsidR="00832B9C" w:rsidRPr="00655D2C">
        <w:rPr>
          <w:rFonts w:ascii="Times New Roman" w:hAnsi="Times New Roman" w:cs="Times New Roman"/>
          <w:sz w:val="24"/>
          <w:szCs w:val="24"/>
        </w:rPr>
        <w:t>ться</w:t>
      </w:r>
      <w:r w:rsidR="009D763A" w:rsidRPr="00655D2C">
        <w:rPr>
          <w:rFonts w:ascii="Times New Roman" w:hAnsi="Times New Roman" w:cs="Times New Roman"/>
          <w:sz w:val="24"/>
          <w:szCs w:val="24"/>
        </w:rPr>
        <w:t>:</w:t>
      </w:r>
      <w:r w:rsidR="00832B9C" w:rsidRPr="00655D2C">
        <w:rPr>
          <w:rFonts w:ascii="Times New Roman" w:hAnsi="Times New Roman" w:cs="Times New Roman"/>
          <w:sz w:val="24"/>
          <w:szCs w:val="24"/>
        </w:rPr>
        <w:t xml:space="preserve"> </w:t>
      </w:r>
      <w:r w:rsidR="009D763A" w:rsidRPr="00655D2C">
        <w:rPr>
          <w:rFonts w:ascii="Times New Roman" w:hAnsi="Times New Roman" w:cs="Times New Roman"/>
          <w:sz w:val="24"/>
          <w:szCs w:val="24"/>
        </w:rPr>
        <w:t>дисципліна «Аналіз господарської діяльності»</w:t>
      </w:r>
      <w:r w:rsidR="00832B9C" w:rsidRPr="00655D2C">
        <w:rPr>
          <w:rFonts w:ascii="Times New Roman" w:hAnsi="Times New Roman" w:cs="Times New Roman"/>
          <w:sz w:val="24"/>
          <w:szCs w:val="24"/>
        </w:rPr>
        <w:t xml:space="preserve"> що підвищує ефективність засвоєння курсу.</w:t>
      </w:r>
    </w:p>
    <w:p w:rsidR="00DE3FC0" w:rsidRPr="00A91CEF" w:rsidRDefault="00DE3FC0" w:rsidP="00DE3F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1CEF">
        <w:rPr>
          <w:rFonts w:ascii="Times New Roman" w:hAnsi="Times New Roman" w:cs="Times New Roman"/>
          <w:b/>
          <w:sz w:val="24"/>
          <w:szCs w:val="24"/>
        </w:rPr>
        <w:t>Постреквізити</w:t>
      </w:r>
      <w:proofErr w:type="spellEnd"/>
      <w:r w:rsidRPr="00A91C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063">
        <w:rPr>
          <w:rFonts w:ascii="Times New Roman" w:hAnsi="Times New Roman" w:cs="Times New Roman"/>
          <w:sz w:val="24"/>
          <w:szCs w:val="24"/>
        </w:rPr>
        <w:t xml:space="preserve">Для набуття передбачених ОП </w:t>
      </w:r>
      <w:proofErr w:type="spellStart"/>
      <w:r w:rsidRPr="00CB6063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CB6063">
        <w:rPr>
          <w:rFonts w:ascii="Times New Roman" w:hAnsi="Times New Roman" w:cs="Times New Roman"/>
          <w:sz w:val="24"/>
          <w:szCs w:val="24"/>
        </w:rPr>
        <w:t xml:space="preserve"> та результатів навчання навчальна дисципліна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4B0">
        <w:rPr>
          <w:rFonts w:ascii="Times New Roman" w:hAnsi="Times New Roman" w:cs="Times New Roman"/>
          <w:bCs/>
          <w:color w:val="000000"/>
          <w:kern w:val="24"/>
          <w:sz w:val="24"/>
        </w:rPr>
        <w:t>«</w:t>
      </w:r>
      <w:r>
        <w:rPr>
          <w:rFonts w:ascii="Times New Roman" w:hAnsi="Times New Roman" w:cs="Times New Roman"/>
          <w:bCs/>
          <w:color w:val="000000"/>
          <w:kern w:val="24"/>
          <w:sz w:val="24"/>
        </w:rPr>
        <w:t>Управлінський облік</w:t>
      </w:r>
      <w:r w:rsidR="003E0526">
        <w:rPr>
          <w:rFonts w:ascii="Times New Roman" w:hAnsi="Times New Roman" w:cs="Times New Roman"/>
          <w:bCs/>
          <w:color w:val="000000"/>
          <w:kern w:val="24"/>
          <w:sz w:val="24"/>
        </w:rPr>
        <w:t>»</w:t>
      </w:r>
      <w:r w:rsidRPr="00CB6063">
        <w:rPr>
          <w:rFonts w:ascii="Times New Roman" w:hAnsi="Times New Roman" w:cs="Times New Roman"/>
          <w:sz w:val="24"/>
          <w:szCs w:val="24"/>
        </w:rPr>
        <w:t xml:space="preserve"> є базою для вивчення дисциплін</w:t>
      </w:r>
      <w:r w:rsidR="003E0526">
        <w:rPr>
          <w:rFonts w:ascii="Times New Roman" w:hAnsi="Times New Roman" w:cs="Times New Roman"/>
          <w:sz w:val="24"/>
          <w:szCs w:val="24"/>
        </w:rPr>
        <w:t>и</w:t>
      </w:r>
      <w:r w:rsidRPr="00CB6063">
        <w:rPr>
          <w:rFonts w:ascii="Times New Roman" w:hAnsi="Times New Roman" w:cs="Times New Roman"/>
          <w:sz w:val="24"/>
          <w:szCs w:val="24"/>
        </w:rPr>
        <w:t>:</w:t>
      </w:r>
      <w:r w:rsidRPr="00CB6063">
        <w:t xml:space="preserve"> </w:t>
      </w:r>
      <w:r>
        <w:t>«</w:t>
      </w:r>
      <w:r w:rsidR="003E0526">
        <w:rPr>
          <w:rFonts w:ascii="Times New Roman" w:hAnsi="Times New Roman" w:cs="Times New Roman"/>
          <w:sz w:val="24"/>
          <w:szCs w:val="24"/>
        </w:rPr>
        <w:t>Внутрішньогосподар</w:t>
      </w:r>
      <w:r w:rsidR="003E0526" w:rsidRPr="003E0526">
        <w:rPr>
          <w:rFonts w:ascii="Times New Roman" w:hAnsi="Times New Roman" w:cs="Times New Roman"/>
          <w:sz w:val="24"/>
          <w:szCs w:val="24"/>
        </w:rPr>
        <w:t>ський контроль та управління ризиками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E0526">
        <w:rPr>
          <w:rFonts w:ascii="Times New Roman" w:hAnsi="Times New Roman" w:cs="Times New Roman"/>
          <w:sz w:val="24"/>
          <w:szCs w:val="24"/>
        </w:rPr>
        <w:t>.</w:t>
      </w:r>
    </w:p>
    <w:p w:rsidR="00A146DD" w:rsidRPr="00655D2C" w:rsidRDefault="003D3952" w:rsidP="00655D2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146DD"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Результати навчання:</w:t>
      </w:r>
    </w:p>
    <w:p w:rsidR="00C37E0D" w:rsidRPr="00655D2C" w:rsidRDefault="00655D2C" w:rsidP="00655D2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оподаткування») вивчення дисципліни «Управлінський облік» сприяє формуванню таких </w:t>
      </w:r>
      <w:proofErr w:type="spellStart"/>
      <w:r w:rsidRPr="00655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65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програмних результатів навчання: </w:t>
      </w:r>
    </w:p>
    <w:p w:rsidR="00655D2C" w:rsidRPr="00655D2C" w:rsidRDefault="00655D2C" w:rsidP="00655D2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55D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Загальні компетентності:</w:t>
      </w:r>
    </w:p>
    <w:p w:rsidR="00241875" w:rsidRPr="00241875" w:rsidRDefault="00241875" w:rsidP="002418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1875">
        <w:rPr>
          <w:rFonts w:ascii="Times New Roman" w:eastAsia="Times New Roman" w:hAnsi="Times New Roman" w:cs="Times New Roman"/>
          <w:sz w:val="24"/>
          <w:szCs w:val="24"/>
          <w:lang w:eastAsia="uk-UA"/>
        </w:rPr>
        <w:t>ЗК01. Здатність вчитися і оволодівати сучасними знаннями.</w:t>
      </w:r>
    </w:p>
    <w:p w:rsidR="00241875" w:rsidRPr="00241875" w:rsidRDefault="00241875" w:rsidP="002418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1875">
        <w:rPr>
          <w:rFonts w:ascii="Times New Roman" w:eastAsia="Times New Roman" w:hAnsi="Times New Roman" w:cs="Times New Roman"/>
          <w:sz w:val="24"/>
          <w:szCs w:val="24"/>
          <w:lang w:eastAsia="uk-UA"/>
        </w:rPr>
        <w:t>ЗК02. Здатність до абстрактного мислення, аналізу та синтезу.</w:t>
      </w:r>
    </w:p>
    <w:p w:rsidR="00241875" w:rsidRPr="00241875" w:rsidRDefault="00241875" w:rsidP="002418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1875">
        <w:rPr>
          <w:rFonts w:ascii="Times New Roman" w:eastAsia="Times New Roman" w:hAnsi="Times New Roman" w:cs="Times New Roman"/>
          <w:sz w:val="24"/>
          <w:szCs w:val="24"/>
          <w:lang w:eastAsia="uk-UA"/>
        </w:rPr>
        <w:t>ЗК03. Здатність працювати в команді.</w:t>
      </w:r>
    </w:p>
    <w:p w:rsidR="00241875" w:rsidRDefault="00241875" w:rsidP="002418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1875">
        <w:rPr>
          <w:rFonts w:ascii="Times New Roman" w:eastAsia="Times New Roman" w:hAnsi="Times New Roman" w:cs="Times New Roman"/>
          <w:sz w:val="24"/>
          <w:szCs w:val="24"/>
          <w:lang w:eastAsia="uk-UA"/>
        </w:rPr>
        <w:t>ЗК04. Здатність працювати автономно.</w:t>
      </w:r>
    </w:p>
    <w:p w:rsidR="00241875" w:rsidRDefault="00241875" w:rsidP="002418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75">
        <w:rPr>
          <w:rFonts w:ascii="Times New Roman" w:eastAsia="Times New Roman" w:hAnsi="Times New Roman" w:cs="Times New Roman"/>
          <w:sz w:val="24"/>
          <w:szCs w:val="24"/>
          <w:lang w:eastAsia="ru-RU"/>
        </w:rPr>
        <w:t>ЗК08. Знання та розуміння предметної області та розуміння професійної діяльності.</w:t>
      </w:r>
    </w:p>
    <w:p w:rsidR="00241875" w:rsidRPr="00241875" w:rsidRDefault="00241875" w:rsidP="002418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75">
        <w:rPr>
          <w:rFonts w:ascii="Times New Roman" w:eastAsia="Times New Roman" w:hAnsi="Times New Roman" w:cs="Times New Roman"/>
          <w:sz w:val="24"/>
          <w:szCs w:val="24"/>
          <w:lang w:eastAsia="ru-RU"/>
        </w:rPr>
        <w:t>ЗК13. Здатність проведення досліджень на відповідному рівні.</w:t>
      </w:r>
    </w:p>
    <w:p w:rsidR="00655D2C" w:rsidRPr="00655D2C" w:rsidRDefault="00655D2C" w:rsidP="002418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5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Фахові компетенції:</w:t>
      </w:r>
    </w:p>
    <w:p w:rsidR="00320FFF" w:rsidRPr="00320FFF" w:rsidRDefault="00320FFF" w:rsidP="00320F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СК02.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:rsidR="00320FFF" w:rsidRDefault="00320FFF" w:rsidP="00320F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СК03.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</w:r>
    </w:p>
    <w:p w:rsidR="00655D2C" w:rsidRPr="00655D2C" w:rsidRDefault="00655D2C" w:rsidP="00320F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5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Очікувані</w:t>
      </w:r>
      <w:r w:rsidRPr="00655D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55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програмні результати</w:t>
      </w:r>
      <w:r w:rsidRPr="00655D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55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навчання: </w:t>
      </w:r>
    </w:p>
    <w:p w:rsidR="00320FFF" w:rsidRPr="00320FFF" w:rsidRDefault="00320FFF" w:rsidP="00320F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ПР02.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320FFF" w:rsidRPr="00320FFF" w:rsidRDefault="00320FFF" w:rsidP="00320F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ПР03. Визначати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320FFF" w:rsidRPr="00320FFF" w:rsidRDefault="00320FFF" w:rsidP="00320F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ПР04.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320FFF" w:rsidRPr="00320FFF" w:rsidRDefault="00320FFF" w:rsidP="00320F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ПР05.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320FFF" w:rsidRDefault="00320FFF" w:rsidP="00320F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ПР06.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320FFF" w:rsidRPr="00320FFF" w:rsidRDefault="00320FFF" w:rsidP="00320F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FF">
        <w:rPr>
          <w:rFonts w:ascii="Times New Roman" w:eastAsia="Times New Roman" w:hAnsi="Times New Roman" w:cs="Times New Roman"/>
          <w:sz w:val="24"/>
          <w:szCs w:val="24"/>
          <w:lang w:eastAsia="uk-UA"/>
        </w:rPr>
        <w:t>ПР08.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</w:t>
      </w:r>
      <w:r w:rsidRPr="00320F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91534" w:rsidRPr="00C91534" w:rsidRDefault="00C91534" w:rsidP="00C91534">
      <w:pPr>
        <w:widowControl w:val="0"/>
        <w:tabs>
          <w:tab w:val="left" w:pos="900"/>
        </w:tabs>
        <w:spacing w:after="0" w:line="240" w:lineRule="auto"/>
        <w:ind w:left="180" w:firstLine="5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1534">
        <w:rPr>
          <w:rFonts w:ascii="Times New Roman" w:eastAsia="Times New Roman" w:hAnsi="Times New Roman" w:cs="Times New Roman"/>
          <w:sz w:val="24"/>
          <w:szCs w:val="24"/>
          <w:lang w:eastAsia="uk-UA"/>
        </w:rPr>
        <w:t>ПР12.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C91534" w:rsidRPr="00C91534" w:rsidRDefault="00C91534" w:rsidP="00C91534">
      <w:pPr>
        <w:widowControl w:val="0"/>
        <w:tabs>
          <w:tab w:val="left" w:pos="900"/>
        </w:tabs>
        <w:spacing w:after="0" w:line="240" w:lineRule="auto"/>
        <w:ind w:left="180" w:firstLine="5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1534">
        <w:rPr>
          <w:rFonts w:ascii="Times New Roman" w:eastAsia="Times New Roman" w:hAnsi="Times New Roman" w:cs="Times New Roman"/>
          <w:sz w:val="24"/>
          <w:szCs w:val="24"/>
          <w:lang w:eastAsia="uk-UA"/>
        </w:rPr>
        <w:t>ПР15.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C91534" w:rsidRPr="00C91534" w:rsidRDefault="00C91534" w:rsidP="00C91534">
      <w:pPr>
        <w:widowControl w:val="0"/>
        <w:tabs>
          <w:tab w:val="left" w:pos="900"/>
        </w:tabs>
        <w:spacing w:after="0" w:line="240" w:lineRule="auto"/>
        <w:ind w:left="180" w:firstLine="5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15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ПР18. Аналізувати </w:t>
      </w:r>
      <w:r w:rsidRPr="00C915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розвиток систем, моделей і методів бухгалтерського обліку на національному та міжнародному рівнях з метою обґрунтування доцільності їх запровадження на підприємстві</w:t>
      </w:r>
      <w:r w:rsidRPr="00C9153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91534" w:rsidRPr="00C91534" w:rsidRDefault="00C91534" w:rsidP="00C91534">
      <w:pPr>
        <w:widowControl w:val="0"/>
        <w:tabs>
          <w:tab w:val="left" w:pos="900"/>
        </w:tabs>
        <w:spacing w:after="0" w:line="240" w:lineRule="auto"/>
        <w:ind w:left="180" w:firstLine="5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15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ПР20.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C91534" w:rsidRPr="00C91534" w:rsidRDefault="00C91534" w:rsidP="00C91534">
      <w:pPr>
        <w:widowControl w:val="0"/>
        <w:tabs>
          <w:tab w:val="left" w:pos="900"/>
        </w:tabs>
        <w:spacing w:after="0" w:line="240" w:lineRule="auto"/>
        <w:ind w:left="180" w:firstLine="5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1534">
        <w:rPr>
          <w:rFonts w:ascii="Times New Roman" w:eastAsia="Times New Roman" w:hAnsi="Times New Roman" w:cs="Times New Roman"/>
          <w:sz w:val="24"/>
          <w:szCs w:val="24"/>
          <w:lang w:eastAsia="uk-UA"/>
        </w:rPr>
        <w:t>ПР21.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3E0526" w:rsidRDefault="003E0526" w:rsidP="00C91534">
      <w:pPr>
        <w:widowControl w:val="0"/>
        <w:spacing w:after="0" w:line="36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6" w:rsidRDefault="003E0526" w:rsidP="00AE63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6" w:rsidRDefault="003E0526" w:rsidP="00AE63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6" w:rsidRDefault="003E0526" w:rsidP="00AE63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6" w:rsidRDefault="003E0526" w:rsidP="00AE63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6" w:rsidRDefault="003E0526" w:rsidP="00AE63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6" w:rsidRDefault="003E0526" w:rsidP="00AE63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6" w:rsidRDefault="003E0526" w:rsidP="00AE63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6" w:rsidRDefault="003E0526" w:rsidP="00AE63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6" w:rsidRDefault="003E0526" w:rsidP="00AE63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6" w:rsidRDefault="003E0526" w:rsidP="00AE63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6" w:rsidRDefault="003E0526" w:rsidP="00AE63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6" w:rsidRDefault="003E0526" w:rsidP="00AE63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534" w:rsidRDefault="00C91534" w:rsidP="00AE63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534" w:rsidRDefault="00C91534" w:rsidP="00AE63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534" w:rsidRDefault="00C91534" w:rsidP="00AE63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534" w:rsidRDefault="00C91534" w:rsidP="00AE63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534" w:rsidRDefault="00C91534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17335" w:rsidRPr="00A03F3A" w:rsidRDefault="003D395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E17335"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:rsidR="008550DD" w:rsidRPr="00B255CE" w:rsidRDefault="003D3952" w:rsidP="00B255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.1. </w:t>
      </w:r>
      <w:r w:rsidR="008550DD"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Дидактична карта навчальної дисципліни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1"/>
        <w:gridCol w:w="944"/>
        <w:gridCol w:w="456"/>
        <w:gridCol w:w="456"/>
        <w:gridCol w:w="565"/>
        <w:gridCol w:w="534"/>
        <w:gridCol w:w="564"/>
        <w:gridCol w:w="941"/>
        <w:gridCol w:w="454"/>
        <w:gridCol w:w="456"/>
        <w:gridCol w:w="566"/>
        <w:gridCol w:w="534"/>
        <w:gridCol w:w="576"/>
      </w:tblGrid>
      <w:tr w:rsidR="00273433" w:rsidRPr="00273433" w:rsidTr="00DC45A3">
        <w:trPr>
          <w:cantSplit/>
        </w:trPr>
        <w:tc>
          <w:tcPr>
            <w:tcW w:w="1525" w:type="pct"/>
            <w:vMerge w:val="restart"/>
            <w:shd w:val="clear" w:color="auto" w:fill="FFFFFF" w:themeFill="background1"/>
          </w:tcPr>
          <w:p w:rsidR="0001627D" w:rsidRDefault="0001627D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Назви змістових модулів і тем</w:t>
            </w:r>
          </w:p>
        </w:tc>
        <w:tc>
          <w:tcPr>
            <w:tcW w:w="3475" w:type="pct"/>
            <w:gridSpan w:val="12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273433" w:rsidRPr="00273433" w:rsidTr="00AC7048">
        <w:trPr>
          <w:cantSplit/>
        </w:trPr>
        <w:tc>
          <w:tcPr>
            <w:tcW w:w="1525" w:type="pct"/>
            <w:vMerge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gridSpan w:val="6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 форма</w:t>
            </w:r>
          </w:p>
        </w:tc>
        <w:tc>
          <w:tcPr>
            <w:tcW w:w="1740" w:type="pct"/>
            <w:gridSpan w:val="6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 форма</w:t>
            </w:r>
          </w:p>
        </w:tc>
      </w:tr>
      <w:tr w:rsidR="00273433" w:rsidRPr="00273433" w:rsidTr="00AC7048">
        <w:trPr>
          <w:cantSplit/>
        </w:trPr>
        <w:tc>
          <w:tcPr>
            <w:tcW w:w="1525" w:type="pct"/>
            <w:vMerge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 w:val="restart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Усього </w:t>
            </w:r>
          </w:p>
        </w:tc>
        <w:tc>
          <w:tcPr>
            <w:tcW w:w="1270" w:type="pct"/>
            <w:gridSpan w:val="5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  <w:tc>
          <w:tcPr>
            <w:tcW w:w="464" w:type="pct"/>
            <w:vMerge w:val="restart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Усього </w:t>
            </w:r>
          </w:p>
        </w:tc>
        <w:tc>
          <w:tcPr>
            <w:tcW w:w="1276" w:type="pct"/>
            <w:gridSpan w:val="5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</w:tr>
      <w:tr w:rsidR="00273433" w:rsidRPr="00273433" w:rsidTr="00DC45A3">
        <w:trPr>
          <w:cantSplit/>
        </w:trPr>
        <w:tc>
          <w:tcPr>
            <w:tcW w:w="1525" w:type="pct"/>
            <w:vMerge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25" w:type="pct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9" w:type="pct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263" w:type="pct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278" w:type="pct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" w:type="pct"/>
            <w:vMerge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25" w:type="pct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9" w:type="pct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263" w:type="pct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284" w:type="pct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3433" w:rsidRPr="00273433" w:rsidTr="00DC45A3">
        <w:tc>
          <w:tcPr>
            <w:tcW w:w="1525" w:type="pct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pct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" w:type="pct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" w:type="pct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" w:type="pct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" w:type="pct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" w:type="pct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" w:type="pct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pct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</w:t>
            </w:r>
          </w:p>
        </w:tc>
      </w:tr>
      <w:tr w:rsidR="00273433" w:rsidRPr="00273433" w:rsidTr="00B255CE">
        <w:trPr>
          <w:cantSplit/>
          <w:trHeight w:val="257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1</w:t>
            </w: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Організація управлінського обліку та системи обліку і калькулювання витрат</w:t>
            </w:r>
          </w:p>
        </w:tc>
      </w:tr>
      <w:tr w:rsidR="007E0A96" w:rsidRPr="00273433" w:rsidTr="00DC45A3">
        <w:tc>
          <w:tcPr>
            <w:tcW w:w="1525" w:type="pct"/>
          </w:tcPr>
          <w:p w:rsidR="007E0A96" w:rsidRPr="00D51ABD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51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Мета, зміст та організація управлінського обліку</w:t>
            </w:r>
          </w:p>
        </w:tc>
        <w:tc>
          <w:tcPr>
            <w:tcW w:w="466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E0A96" w:rsidRPr="00273433" w:rsidTr="00DC45A3">
        <w:tc>
          <w:tcPr>
            <w:tcW w:w="1525" w:type="pct"/>
          </w:tcPr>
          <w:p w:rsidR="007E0A96" w:rsidRPr="00D51ABD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51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Склад витрат виробництва</w:t>
            </w:r>
          </w:p>
        </w:tc>
        <w:tc>
          <w:tcPr>
            <w:tcW w:w="466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E0A96" w:rsidRPr="00273433" w:rsidTr="00DC45A3">
        <w:tc>
          <w:tcPr>
            <w:tcW w:w="1525" w:type="pct"/>
          </w:tcPr>
          <w:p w:rsidR="007E0A96" w:rsidRPr="00D51ABD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51A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Тема 3. Класифікація і поведінка витрат</w:t>
            </w:r>
          </w:p>
        </w:tc>
        <w:tc>
          <w:tcPr>
            <w:tcW w:w="466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0A96" w:rsidRPr="00273433" w:rsidTr="00DC45A3">
        <w:tc>
          <w:tcPr>
            <w:tcW w:w="1525" w:type="pct"/>
          </w:tcPr>
          <w:p w:rsidR="007E0A96" w:rsidRPr="00D51ABD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51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Сутність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собівар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тості продукції, принципи і критерії її формування</w:t>
            </w:r>
          </w:p>
        </w:tc>
        <w:tc>
          <w:tcPr>
            <w:tcW w:w="466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0A96" w:rsidRPr="00273433" w:rsidTr="00DC45A3">
        <w:tc>
          <w:tcPr>
            <w:tcW w:w="1525" w:type="pct"/>
          </w:tcPr>
          <w:p w:rsidR="007E0A96" w:rsidRPr="00D51ABD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51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обліку і калькулювання за повними ви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тратами</w:t>
            </w:r>
          </w:p>
        </w:tc>
        <w:tc>
          <w:tcPr>
            <w:tcW w:w="466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A96" w:rsidRPr="00273433" w:rsidTr="00DC45A3">
        <w:tc>
          <w:tcPr>
            <w:tcW w:w="1525" w:type="pct"/>
          </w:tcPr>
          <w:p w:rsidR="007E0A96" w:rsidRPr="00D51ABD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51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Система обліку і калькулювання за змінними ви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тратами</w:t>
            </w:r>
          </w:p>
        </w:tc>
        <w:tc>
          <w:tcPr>
            <w:tcW w:w="466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0A96" w:rsidRPr="00273433" w:rsidTr="00DC45A3">
        <w:tc>
          <w:tcPr>
            <w:tcW w:w="1525" w:type="pct"/>
          </w:tcPr>
          <w:p w:rsidR="007E0A96" w:rsidRPr="00D51ABD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D51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Система обліку і калькулювання за нормативними 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витратами</w:t>
            </w:r>
          </w:p>
        </w:tc>
        <w:tc>
          <w:tcPr>
            <w:tcW w:w="466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0A96" w:rsidRPr="00273433" w:rsidTr="00DC45A3">
        <w:tc>
          <w:tcPr>
            <w:tcW w:w="1525" w:type="pct"/>
          </w:tcPr>
          <w:p w:rsidR="007E0A96" w:rsidRPr="00273433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змістовим модулем 1</w:t>
            </w:r>
          </w:p>
        </w:tc>
        <w:tc>
          <w:tcPr>
            <w:tcW w:w="466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5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69</w:t>
            </w:r>
          </w:p>
        </w:tc>
      </w:tr>
      <w:tr w:rsidR="00273433" w:rsidRPr="00273433" w:rsidTr="00B255CE">
        <w:trPr>
          <w:cantSplit/>
        </w:trPr>
        <w:tc>
          <w:tcPr>
            <w:tcW w:w="5000" w:type="pct"/>
            <w:gridSpan w:val="13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2.</w:t>
            </w: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Специфічні методики управлінського обліку</w:t>
            </w:r>
          </w:p>
        </w:tc>
      </w:tr>
      <w:tr w:rsidR="007E0A96" w:rsidRPr="00273433" w:rsidTr="00DC45A3">
        <w:tc>
          <w:tcPr>
            <w:tcW w:w="1525" w:type="pct"/>
          </w:tcPr>
          <w:p w:rsidR="007E0A96" w:rsidRPr="00D51ABD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51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D5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 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Аналіз </w:t>
            </w:r>
            <w:proofErr w:type="spellStart"/>
            <w:r w:rsidRPr="00D51A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взаємозв'яз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ку витрат, обсягу діяльності та прибутку</w:t>
            </w:r>
          </w:p>
        </w:tc>
        <w:tc>
          <w:tcPr>
            <w:tcW w:w="466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0A96" w:rsidRPr="00273433" w:rsidTr="00DC45A3">
        <w:tc>
          <w:tcPr>
            <w:tcW w:w="1525" w:type="pct"/>
          </w:tcPr>
          <w:p w:rsidR="007E0A96" w:rsidRPr="00D51ABD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51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9.  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Аналіз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релевант-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ності</w:t>
            </w:r>
            <w:proofErr w:type="spellEnd"/>
            <w:r w:rsidRPr="00D51A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інформації для </w:t>
            </w:r>
            <w:proofErr w:type="spellStart"/>
            <w:r w:rsidRPr="00D51A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няття</w:t>
            </w:r>
            <w:proofErr w:type="spellEnd"/>
            <w:r w:rsidRPr="00D51A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управлінських рішень</w:t>
            </w:r>
          </w:p>
        </w:tc>
        <w:tc>
          <w:tcPr>
            <w:tcW w:w="466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0A96" w:rsidRPr="00273433" w:rsidTr="00DC45A3">
        <w:tc>
          <w:tcPr>
            <w:tcW w:w="1525" w:type="pct"/>
          </w:tcPr>
          <w:p w:rsidR="007E0A96" w:rsidRPr="00D51ABD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51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10. 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Бюджетування і контроль</w:t>
            </w:r>
          </w:p>
        </w:tc>
        <w:tc>
          <w:tcPr>
            <w:tcW w:w="466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0A96" w:rsidRPr="00273433" w:rsidTr="00DC45A3">
        <w:tc>
          <w:tcPr>
            <w:tcW w:w="1525" w:type="pct"/>
          </w:tcPr>
          <w:p w:rsidR="007E0A96" w:rsidRPr="00D51ABD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51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11. </w:t>
            </w:r>
            <w:r w:rsidRPr="00D51A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Облік і контроль за центрами відповідальності</w:t>
            </w:r>
          </w:p>
        </w:tc>
        <w:tc>
          <w:tcPr>
            <w:tcW w:w="466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0A96" w:rsidRPr="00273433" w:rsidTr="00DC45A3">
        <w:tc>
          <w:tcPr>
            <w:tcW w:w="1525" w:type="pct"/>
          </w:tcPr>
          <w:p w:rsidR="007E0A96" w:rsidRPr="00D51ABD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51A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Тема 12. Взаємозв’язок управлінського і фінансового обліку</w:t>
            </w:r>
          </w:p>
        </w:tc>
        <w:tc>
          <w:tcPr>
            <w:tcW w:w="466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E0A96" w:rsidRPr="00273433" w:rsidTr="00DC45A3">
        <w:tc>
          <w:tcPr>
            <w:tcW w:w="1525" w:type="pct"/>
          </w:tcPr>
          <w:p w:rsidR="007E0A96" w:rsidRPr="00273433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змістовим модулем 2</w:t>
            </w:r>
          </w:p>
        </w:tc>
        <w:tc>
          <w:tcPr>
            <w:tcW w:w="466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5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</w:t>
            </w:r>
          </w:p>
        </w:tc>
      </w:tr>
      <w:tr w:rsidR="007E0A96" w:rsidRPr="00273433" w:rsidTr="007E0A96">
        <w:trPr>
          <w:trHeight w:val="70"/>
        </w:trPr>
        <w:tc>
          <w:tcPr>
            <w:tcW w:w="1525" w:type="pct"/>
          </w:tcPr>
          <w:p w:rsidR="007E0A96" w:rsidRPr="00273433" w:rsidRDefault="007E0A96" w:rsidP="007E0A96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Усього годин </w:t>
            </w:r>
          </w:p>
        </w:tc>
        <w:tc>
          <w:tcPr>
            <w:tcW w:w="466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4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DC45A3" w:rsidRPr="00273433" w:rsidTr="00DC45A3">
        <w:tc>
          <w:tcPr>
            <w:tcW w:w="1525" w:type="pct"/>
          </w:tcPr>
          <w:p w:rsidR="00DC45A3" w:rsidRPr="00DC45A3" w:rsidRDefault="00DC45A3" w:rsidP="00DC45A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45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Підсумкова форма контролю</w:t>
            </w:r>
            <w:r w:rsidRPr="00DC45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3475" w:type="pct"/>
            <w:gridSpan w:val="12"/>
            <w:shd w:val="clear" w:color="auto" w:fill="auto"/>
          </w:tcPr>
          <w:p w:rsidR="00DC45A3" w:rsidRPr="00DC45A3" w:rsidRDefault="00DC45A3" w:rsidP="00DC4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45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екзамен</w:t>
            </w:r>
          </w:p>
        </w:tc>
      </w:tr>
    </w:tbl>
    <w:p w:rsidR="00B345F8" w:rsidRPr="00011384" w:rsidRDefault="00B345F8" w:rsidP="001D663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  <w:highlight w:val="yellow"/>
        </w:rPr>
      </w:pPr>
    </w:p>
    <w:p w:rsidR="00434D95" w:rsidRPr="00A03F3A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1360E2"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="00D90D8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</w:t>
      </w:r>
      <w:r w:rsidR="00434D95"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:rsidR="00DD4BC7" w:rsidRDefault="00DD4BC7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D16A9C" w:rsidRPr="00D16A9C" w:rsidRDefault="00D16A9C" w:rsidP="00D16A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Самостійна робота здобувача з дисципліни «Управлінський облік» 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що виносяться на самостійне вивчення та самостійне вирішення практичних ситуацій.</w:t>
      </w:r>
    </w:p>
    <w:p w:rsidR="00D16A9C" w:rsidRPr="00D16A9C" w:rsidRDefault="00D16A9C" w:rsidP="00D16A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486"/>
        <w:gridCol w:w="1563"/>
        <w:gridCol w:w="1387"/>
      </w:tblGrid>
      <w:tr w:rsidR="00D16A9C" w:rsidRPr="00D16A9C" w:rsidTr="00D16A9C">
        <w:tc>
          <w:tcPr>
            <w:tcW w:w="346" w:type="pct"/>
            <w:vMerge w:val="restart"/>
            <w:shd w:val="clear" w:color="auto" w:fill="auto"/>
          </w:tcPr>
          <w:p w:rsidR="00D16A9C" w:rsidRPr="00D16A9C" w:rsidRDefault="00D16A9C" w:rsidP="00D16A9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6A9C" w:rsidRPr="00D16A9C" w:rsidRDefault="00D16A9C" w:rsidP="00D16A9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199" w:type="pct"/>
            <w:vMerge w:val="restart"/>
            <w:shd w:val="clear" w:color="auto" w:fill="auto"/>
          </w:tcPr>
          <w:p w:rsidR="00D16A9C" w:rsidRPr="00D16A9C" w:rsidRDefault="00D16A9C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D16A9C" w:rsidRPr="00D16A9C" w:rsidRDefault="00D16A9C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:rsidR="00D16A9C" w:rsidRPr="00D16A9C" w:rsidRDefault="00D16A9C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D16A9C" w:rsidRPr="00D16A9C" w:rsidTr="00D16A9C">
        <w:tc>
          <w:tcPr>
            <w:tcW w:w="346" w:type="pct"/>
            <w:vMerge/>
            <w:shd w:val="clear" w:color="auto" w:fill="auto"/>
          </w:tcPr>
          <w:p w:rsidR="00D16A9C" w:rsidRPr="00D16A9C" w:rsidRDefault="00D16A9C" w:rsidP="00D16A9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vMerge/>
            <w:shd w:val="clear" w:color="auto" w:fill="auto"/>
          </w:tcPr>
          <w:p w:rsidR="00D16A9C" w:rsidRPr="00D16A9C" w:rsidRDefault="00D16A9C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D16A9C" w:rsidRPr="00D16A9C" w:rsidRDefault="00D16A9C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684" w:type="pct"/>
          </w:tcPr>
          <w:p w:rsidR="00D16A9C" w:rsidRPr="00D16A9C" w:rsidRDefault="00D16A9C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</w:p>
        </w:tc>
      </w:tr>
      <w:tr w:rsidR="007E0A96" w:rsidRPr="00D16A9C" w:rsidTr="00D16A9C">
        <w:tc>
          <w:tcPr>
            <w:tcW w:w="346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Мета, зміст та організація управлінського обліку</w:t>
            </w:r>
          </w:p>
        </w:tc>
        <w:tc>
          <w:tcPr>
            <w:tcW w:w="771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E0A96" w:rsidRPr="00D16A9C" w:rsidTr="00D16A9C">
        <w:tc>
          <w:tcPr>
            <w:tcW w:w="346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9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Склад витрат виробництва</w:t>
            </w:r>
          </w:p>
        </w:tc>
        <w:tc>
          <w:tcPr>
            <w:tcW w:w="771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E0A96" w:rsidRPr="00D16A9C" w:rsidTr="00D16A9C">
        <w:tc>
          <w:tcPr>
            <w:tcW w:w="346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9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Класифікація і поведінка витрат</w:t>
            </w:r>
          </w:p>
        </w:tc>
        <w:tc>
          <w:tcPr>
            <w:tcW w:w="771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0A96" w:rsidRPr="00D16A9C" w:rsidTr="00D16A9C">
        <w:tc>
          <w:tcPr>
            <w:tcW w:w="346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9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Сутність собівартості продукції, принципи і критерії її формування</w:t>
            </w:r>
          </w:p>
        </w:tc>
        <w:tc>
          <w:tcPr>
            <w:tcW w:w="771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0A96" w:rsidRPr="00D16A9C" w:rsidTr="00D16A9C">
        <w:tc>
          <w:tcPr>
            <w:tcW w:w="346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9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обліку і калькулювання за повними ви</w:t>
            </w:r>
            <w:r w:rsidRPr="00D16A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тратами</w:t>
            </w:r>
          </w:p>
        </w:tc>
        <w:tc>
          <w:tcPr>
            <w:tcW w:w="771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A96" w:rsidRPr="00D16A9C" w:rsidTr="00D16A9C">
        <w:tc>
          <w:tcPr>
            <w:tcW w:w="346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9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Система обліку і калькулювання за змінними ви</w:t>
            </w:r>
            <w:r w:rsidRPr="00D16A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тратами</w:t>
            </w:r>
          </w:p>
        </w:tc>
        <w:tc>
          <w:tcPr>
            <w:tcW w:w="771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0A96" w:rsidRPr="00D16A9C" w:rsidTr="00D16A9C">
        <w:tc>
          <w:tcPr>
            <w:tcW w:w="346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9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Система обліку і калькулювання за нормативними </w:t>
            </w:r>
            <w:r w:rsidRPr="00D16A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витратами</w:t>
            </w:r>
          </w:p>
        </w:tc>
        <w:tc>
          <w:tcPr>
            <w:tcW w:w="771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0A96" w:rsidRPr="00D16A9C" w:rsidTr="00D16A9C">
        <w:tc>
          <w:tcPr>
            <w:tcW w:w="346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9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Аналіз взаємозв'язку витрат, обсягу діяльності та прибутку</w:t>
            </w:r>
          </w:p>
        </w:tc>
        <w:tc>
          <w:tcPr>
            <w:tcW w:w="771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0A96" w:rsidRPr="00D16A9C" w:rsidTr="00D16A9C">
        <w:tc>
          <w:tcPr>
            <w:tcW w:w="346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9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Аналіз </w:t>
            </w:r>
            <w:proofErr w:type="spellStart"/>
            <w:r w:rsidRPr="00D16A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релевантності</w:t>
            </w:r>
            <w:proofErr w:type="spellEnd"/>
            <w:r w:rsidRPr="00D16A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інформації для прийняття </w:t>
            </w:r>
            <w:r w:rsidRPr="00D16A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управлінських рішень</w:t>
            </w:r>
          </w:p>
        </w:tc>
        <w:tc>
          <w:tcPr>
            <w:tcW w:w="771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0A96" w:rsidRPr="00D16A9C" w:rsidTr="00D16A9C">
        <w:tc>
          <w:tcPr>
            <w:tcW w:w="346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9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Бюджетування і контроль</w:t>
            </w:r>
          </w:p>
        </w:tc>
        <w:tc>
          <w:tcPr>
            <w:tcW w:w="771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0A96" w:rsidRPr="00D16A9C" w:rsidTr="00D16A9C">
        <w:tc>
          <w:tcPr>
            <w:tcW w:w="346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9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Облік і контроль за центрами відповідальності</w:t>
            </w:r>
          </w:p>
        </w:tc>
        <w:tc>
          <w:tcPr>
            <w:tcW w:w="771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0A96" w:rsidRPr="00D16A9C" w:rsidTr="00D16A9C">
        <w:tc>
          <w:tcPr>
            <w:tcW w:w="346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9" w:type="pct"/>
            <w:shd w:val="clear" w:color="auto" w:fill="auto"/>
          </w:tcPr>
          <w:p w:rsidR="007E0A96" w:rsidRPr="00D16A9C" w:rsidRDefault="007E0A96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Взаємозв’язок управлінського і фінансового обліку</w:t>
            </w:r>
          </w:p>
        </w:tc>
        <w:tc>
          <w:tcPr>
            <w:tcW w:w="771" w:type="pct"/>
            <w:shd w:val="clear" w:color="auto" w:fill="auto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pct"/>
          </w:tcPr>
          <w:p w:rsidR="007E0A96" w:rsidRPr="00273433" w:rsidRDefault="007E0A96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bookmarkEnd w:id="0"/>
      <w:tr w:rsidR="00FC6028" w:rsidRPr="00D16A9C" w:rsidTr="00D16A9C">
        <w:tc>
          <w:tcPr>
            <w:tcW w:w="3545" w:type="pct"/>
            <w:gridSpan w:val="2"/>
            <w:shd w:val="clear" w:color="auto" w:fill="auto"/>
          </w:tcPr>
          <w:p w:rsidR="00FC6028" w:rsidRPr="00D16A9C" w:rsidRDefault="00FC6028" w:rsidP="00D16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Разом годин</w:t>
            </w:r>
          </w:p>
        </w:tc>
        <w:tc>
          <w:tcPr>
            <w:tcW w:w="771" w:type="pct"/>
            <w:shd w:val="clear" w:color="auto" w:fill="auto"/>
          </w:tcPr>
          <w:p w:rsidR="00FC6028" w:rsidRPr="00D16A9C" w:rsidRDefault="007E0A96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4" w:type="pct"/>
          </w:tcPr>
          <w:p w:rsidR="00FC6028" w:rsidRPr="00FC6028" w:rsidRDefault="00FC6028" w:rsidP="0083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</w:tr>
    </w:tbl>
    <w:p w:rsidR="007947A7" w:rsidRDefault="007947A7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6835C9" w:rsidRPr="004A11BD" w:rsidRDefault="006835C9" w:rsidP="006835C9">
      <w:pPr>
        <w:keepNext/>
        <w:keepLines/>
        <w:tabs>
          <w:tab w:val="left" w:pos="2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Освітні технології, методи навчання і  викладання навчальної дисципліни</w:t>
      </w:r>
    </w:p>
    <w:p w:rsidR="00F15FC6" w:rsidRPr="00E41B07" w:rsidRDefault="00F15FC6" w:rsidP="00F15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 технології, що використовуються для викладання дисципліни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Управлінський облік</w:t>
      </w: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F15FC6" w:rsidRPr="00E41B07" w:rsidRDefault="00F15FC6" w:rsidP="00F15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Лекції, під час яких розкриваються основні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теоретичні концепції </w:t>
      </w:r>
      <w:r w:rsidR="0066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організації управлінського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обліку </w:t>
      </w: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використанням презентацій та інших візуальних засобів для кращого засвоєння матеріалу. </w:t>
      </w:r>
    </w:p>
    <w:p w:rsidR="00F15FC6" w:rsidRPr="00E41B07" w:rsidRDefault="00F15FC6" w:rsidP="00F15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Групові та індивідуальні завдання, що сприяють розвитку навичок командної роботи та співпраці та навчають застосувати їх у практичних ситуаціях. Здобувачі можуть працювати як індивідуально, так і у командах. </w:t>
      </w:r>
    </w:p>
    <w:p w:rsidR="00F15FC6" w:rsidRDefault="00F15FC6" w:rsidP="00F15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Використання таких технологій, як </w:t>
      </w: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вебінари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платформа MOODLE та інші інтерактивні платформи навчання, неформальні бізнес-курси, що сприяють підтримці навчання. Вони дозволяють здобувачам доступатися до матеріалів в будь-який час і місце, виконувати завдання та отримувати зворотний зв'язок від викладача.</w:t>
      </w:r>
    </w:p>
    <w:p w:rsidR="00F15FC6" w:rsidRDefault="00F15FC6" w:rsidP="00F15FC6">
      <w:pPr>
        <w:tabs>
          <w:tab w:val="left" w:pos="298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1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:rsidR="00F15FC6" w:rsidRPr="00F15FC6" w:rsidRDefault="00F15FC6" w:rsidP="00F15FC6">
      <w:pPr>
        <w:tabs>
          <w:tab w:val="left" w:pos="2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1 – вербальні методи (лекція, бесіда, диспут, пояснення, розповідь та інші);</w:t>
      </w:r>
    </w:p>
    <w:p w:rsidR="00F15FC6" w:rsidRPr="00173BDB" w:rsidRDefault="00F15FC6" w:rsidP="00F15FC6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2 – семінари, практичні та лабораторні роботи;</w:t>
      </w:r>
    </w:p>
    <w:p w:rsidR="00F15FC6" w:rsidRPr="00173BDB" w:rsidRDefault="00F15FC6" w:rsidP="00F15FC6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3 – наочні методи (презентація, демонстрація, ілюстрація);</w:t>
      </w:r>
    </w:p>
    <w:p w:rsidR="00F15FC6" w:rsidRPr="00173BDB" w:rsidRDefault="00F15FC6" w:rsidP="00F15FC6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 4 – 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пояснювально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-ілюстративні методи;</w:t>
      </w:r>
    </w:p>
    <w:p w:rsidR="00F15FC6" w:rsidRPr="00173BDB" w:rsidRDefault="00F15FC6" w:rsidP="00F15FC6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5 – проблемно-пошукові методи;</w:t>
      </w:r>
    </w:p>
    <w:p w:rsidR="00F15FC6" w:rsidRPr="00173BDB" w:rsidRDefault="00F15FC6" w:rsidP="00F15FC6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8 – ситуаційні завдання;</w:t>
      </w:r>
    </w:p>
    <w:p w:rsidR="00F15FC6" w:rsidRPr="00173BDB" w:rsidRDefault="00F15FC6" w:rsidP="00F15FC6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9 – робота з інформаційними ресурсами (нормативними джерелами, навчально-методичною та науковою літературою, інтернет-ресурсами);</w:t>
      </w:r>
    </w:p>
    <w:p w:rsidR="00F15FC6" w:rsidRPr="00173BDB" w:rsidRDefault="00F15FC6" w:rsidP="00F15FC6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10 – самостійна робота;</w:t>
      </w:r>
    </w:p>
    <w:p w:rsidR="00F15FC6" w:rsidRPr="00173BDB" w:rsidRDefault="00F15FC6" w:rsidP="00F15FC6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 11 – дистанційне навчання з використанням системи 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="003C0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9CE" w:rsidRDefault="003C09CE" w:rsidP="00F15FC6">
      <w:pPr>
        <w:widowControl w:val="0"/>
        <w:tabs>
          <w:tab w:val="left" w:pos="29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9CE" w:rsidRDefault="003C09CE" w:rsidP="00F15FC6">
      <w:pPr>
        <w:widowControl w:val="0"/>
        <w:tabs>
          <w:tab w:val="left" w:pos="29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5C9" w:rsidRPr="004A11BD" w:rsidRDefault="006835C9" w:rsidP="00F15FC6">
      <w:pPr>
        <w:widowControl w:val="0"/>
        <w:tabs>
          <w:tab w:val="left" w:pos="29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Контроль та оцінювання результатів навчальних досягнень здобувачів з навчальної дисципліни</w:t>
      </w:r>
    </w:p>
    <w:p w:rsidR="006835C9" w:rsidRPr="004A11BD" w:rsidRDefault="006835C9" w:rsidP="00683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Критерії оцінювання:</w:t>
      </w:r>
    </w:p>
    <w:p w:rsidR="006835C9" w:rsidRPr="004A11BD" w:rsidRDefault="006835C9" w:rsidP="00683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 усних відповідях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6835C9" w:rsidRPr="004A11BD" w:rsidRDefault="006835C9" w:rsidP="00683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 виконанні письмових завдань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6835C9" w:rsidRPr="004A11BD" w:rsidRDefault="006835C9" w:rsidP="00683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C24F0D" w:rsidRPr="004A11BD" w:rsidRDefault="00C24F0D" w:rsidP="00C24F0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Засоби оцінювання:</w:t>
      </w:r>
    </w:p>
    <w:p w:rsidR="00C24F0D" w:rsidRPr="005010B7" w:rsidRDefault="00C24F0D" w:rsidP="00C24F0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 – фронтальне опитування;</w:t>
      </w:r>
    </w:p>
    <w:p w:rsidR="00C24F0D" w:rsidRPr="005010B7" w:rsidRDefault="00C24F0D" w:rsidP="00C24F0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2 – індивідуальне опитування;</w:t>
      </w:r>
    </w:p>
    <w:p w:rsidR="00C24F0D" w:rsidRPr="005010B7" w:rsidRDefault="00C24F0D" w:rsidP="00C24F0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3 – стандартизовані тести; </w:t>
      </w:r>
    </w:p>
    <w:p w:rsidR="00C24F0D" w:rsidRPr="005010B7" w:rsidRDefault="00C24F0D" w:rsidP="00C24F0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4 – розв’язування практичних ситуацій;</w:t>
      </w:r>
    </w:p>
    <w:p w:rsidR="00C24F0D" w:rsidRPr="005010B7" w:rsidRDefault="00C24F0D" w:rsidP="00C24F0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5 – тематичні контрольні роботи;</w:t>
      </w:r>
    </w:p>
    <w:p w:rsidR="00C24F0D" w:rsidRPr="005010B7" w:rsidRDefault="00C24F0D" w:rsidP="00C24F0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6 – презентація результатів виконання індивідуальних та командних завдань (наукових, розрахункових, аналітичних та інших);</w:t>
      </w:r>
    </w:p>
    <w:p w:rsidR="00C24F0D" w:rsidRPr="005010B7" w:rsidRDefault="00C24F0D" w:rsidP="00C24F0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12 – виступи та презентації здобувачів на наукових заходах; </w:t>
      </w:r>
    </w:p>
    <w:p w:rsidR="00C24F0D" w:rsidRPr="005010B7" w:rsidRDefault="00C24F0D" w:rsidP="00C24F0D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– підсумковий контроль – (екзамен).</w:t>
      </w:r>
    </w:p>
    <w:p w:rsidR="000E2F5E" w:rsidRDefault="000E2F5E" w:rsidP="00683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35C9" w:rsidRPr="004A11BD" w:rsidRDefault="006835C9" w:rsidP="00683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Результати поточного оцінювання навчальних досягнень відображаються у 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Журналі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обліку успішності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викладача. </w:t>
      </w:r>
    </w:p>
    <w:p w:rsidR="00224B4B" w:rsidRPr="00D21B8E" w:rsidRDefault="00224B4B" w:rsidP="0022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1B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оцінювання навчальних досягнень:</w:t>
      </w:r>
    </w:p>
    <w:p w:rsidR="00C24F0D" w:rsidRDefault="00C24F0D" w:rsidP="00C2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 балів за 1 змістовий модуль та 30 балів за 2 змістовий модуль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40 балів – у процесі підсумкового виду контролю (здачі екзамену). </w:t>
      </w:r>
    </w:p>
    <w:p w:rsidR="00C24F0D" w:rsidRPr="00D16A9C" w:rsidRDefault="00C24F0D" w:rsidP="00C2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9C" w:rsidRPr="00D16A9C" w:rsidRDefault="00D16A9C" w:rsidP="00D16A9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Розподіл балів, які отримують здобувачі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584"/>
        <w:gridCol w:w="582"/>
        <w:gridCol w:w="582"/>
        <w:gridCol w:w="580"/>
        <w:gridCol w:w="580"/>
        <w:gridCol w:w="608"/>
        <w:gridCol w:w="547"/>
        <w:gridCol w:w="584"/>
        <w:gridCol w:w="728"/>
        <w:gridCol w:w="728"/>
        <w:gridCol w:w="920"/>
        <w:gridCol w:w="1306"/>
        <w:gridCol w:w="1261"/>
      </w:tblGrid>
      <w:tr w:rsidR="00522E8B" w:rsidRPr="00522E8B" w:rsidTr="00C24F0D">
        <w:trPr>
          <w:trHeight w:val="338"/>
        </w:trPr>
        <w:tc>
          <w:tcPr>
            <w:tcW w:w="3734" w:type="pct"/>
            <w:gridSpan w:val="12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522E8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Поточне оцінювання </w:t>
            </w:r>
          </w:p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аудиторна</w:t>
            </w:r>
            <w:proofErr w:type="spellEnd"/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самостійна</w:t>
            </w:r>
            <w:proofErr w:type="spellEnd"/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робота)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522E8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Кількість балів</w:t>
            </w:r>
          </w:p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екзамен</w:t>
            </w: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22" w:type="pct"/>
            <w:vMerge w:val="restart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Сумарна кількість балів</w:t>
            </w:r>
          </w:p>
        </w:tc>
      </w:tr>
      <w:tr w:rsidR="00522E8B" w:rsidRPr="00522E8B" w:rsidTr="00C24F0D">
        <w:trPr>
          <w:trHeight w:val="338"/>
        </w:trPr>
        <w:tc>
          <w:tcPr>
            <w:tcW w:w="2004" w:type="pct"/>
            <w:gridSpan w:val="7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№1</w:t>
            </w:r>
          </w:p>
        </w:tc>
        <w:tc>
          <w:tcPr>
            <w:tcW w:w="1730" w:type="pct"/>
            <w:gridSpan w:val="5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№ 2</w:t>
            </w:r>
          </w:p>
        </w:tc>
        <w:tc>
          <w:tcPr>
            <w:tcW w:w="644" w:type="pct"/>
            <w:vMerge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E8B" w:rsidRPr="00522E8B" w:rsidTr="00C24F0D">
        <w:trPr>
          <w:trHeight w:val="338"/>
        </w:trPr>
        <w:tc>
          <w:tcPr>
            <w:tcW w:w="270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Т1</w:t>
            </w:r>
          </w:p>
        </w:tc>
        <w:tc>
          <w:tcPr>
            <w:tcW w:w="288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Т2</w:t>
            </w:r>
          </w:p>
        </w:tc>
        <w:tc>
          <w:tcPr>
            <w:tcW w:w="287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Т3</w:t>
            </w:r>
          </w:p>
        </w:tc>
        <w:tc>
          <w:tcPr>
            <w:tcW w:w="287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Т4</w:t>
            </w:r>
          </w:p>
        </w:tc>
        <w:tc>
          <w:tcPr>
            <w:tcW w:w="286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Т5</w:t>
            </w:r>
          </w:p>
        </w:tc>
        <w:tc>
          <w:tcPr>
            <w:tcW w:w="286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Т6</w:t>
            </w:r>
          </w:p>
        </w:tc>
        <w:tc>
          <w:tcPr>
            <w:tcW w:w="300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Т7</w:t>
            </w:r>
          </w:p>
        </w:tc>
        <w:tc>
          <w:tcPr>
            <w:tcW w:w="270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Т8</w:t>
            </w:r>
          </w:p>
        </w:tc>
        <w:tc>
          <w:tcPr>
            <w:tcW w:w="288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Т9</w:t>
            </w:r>
          </w:p>
        </w:tc>
        <w:tc>
          <w:tcPr>
            <w:tcW w:w="359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Т10</w:t>
            </w:r>
          </w:p>
        </w:tc>
        <w:tc>
          <w:tcPr>
            <w:tcW w:w="359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Т11</w:t>
            </w:r>
          </w:p>
        </w:tc>
        <w:tc>
          <w:tcPr>
            <w:tcW w:w="454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Т12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2" w:type="pct"/>
            <w:vMerge w:val="restart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22E8B" w:rsidRPr="00522E8B" w:rsidTr="00C24F0D">
        <w:trPr>
          <w:trHeight w:val="354"/>
        </w:trPr>
        <w:tc>
          <w:tcPr>
            <w:tcW w:w="270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pct"/>
            <w:vMerge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</w:tcPr>
          <w:p w:rsidR="00522E8B" w:rsidRPr="00522E8B" w:rsidRDefault="00522E8B" w:rsidP="00522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2B2" w:rsidRDefault="003D62B2" w:rsidP="003D62B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62B2" w:rsidRDefault="003D62B2" w:rsidP="003D62B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Підсумковий контроль знань та </w:t>
      </w:r>
      <w:proofErr w:type="spellStart"/>
      <w:r w:rsidRPr="00195390">
        <w:rPr>
          <w:rFonts w:ascii="Times New Roman" w:hAnsi="Times New Roman" w:cs="Times New Roman"/>
          <w:color w:val="000000"/>
          <w:sz w:val="24"/>
          <w:szCs w:val="24"/>
        </w:rPr>
        <w:t>компетентностей</w:t>
      </w:r>
      <w:proofErr w:type="spellEnd"/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510">
        <w:rPr>
          <w:rFonts w:ascii="Times New Roman" w:hAnsi="Times New Roman" w:cs="Times New Roman"/>
          <w:color w:val="000000"/>
          <w:sz w:val="24"/>
          <w:szCs w:val="24"/>
        </w:rPr>
        <w:t>здобувачів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510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з навчальної дисципліни </w:t>
      </w:r>
      <w:r w:rsidR="009F41A5">
        <w:rPr>
          <w:rFonts w:ascii="Times New Roman" w:hAnsi="Times New Roman" w:cs="Times New Roman"/>
          <w:color w:val="000000"/>
          <w:sz w:val="24"/>
          <w:szCs w:val="24"/>
        </w:rPr>
        <w:t xml:space="preserve">«Управлінський облік»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здійснюється на підставі проведення </w:t>
      </w:r>
      <w:r w:rsidRPr="00F30D79">
        <w:rPr>
          <w:rFonts w:ascii="Times New Roman" w:hAnsi="Times New Roman" w:cs="Times New Roman"/>
          <w:i/>
          <w:color w:val="000000"/>
          <w:sz w:val="24"/>
          <w:szCs w:val="24"/>
        </w:rPr>
        <w:t>екзамену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, завданням якого є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підсумкова </w:t>
      </w:r>
      <w:r w:rsidRPr="00B1660C">
        <w:rPr>
          <w:rFonts w:ascii="Times New Roman" w:hAnsi="Times New Roman" w:cs="Times New Roman"/>
          <w:color w:val="000000"/>
          <w:sz w:val="24"/>
          <w:szCs w:val="24"/>
        </w:rPr>
        <w:t xml:space="preserve">перевірка глибини засвоєння </w:t>
      </w:r>
      <w:r>
        <w:rPr>
          <w:rFonts w:ascii="Times New Roman" w:hAnsi="Times New Roman" w:cs="Times New Roman"/>
          <w:color w:val="000000"/>
          <w:sz w:val="24"/>
          <w:szCs w:val="24"/>
        </w:rPr>
        <w:t>здобувачем</w:t>
      </w:r>
      <w:r w:rsidRPr="00B1660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програмного матеріалу освітньо</w:t>
      </w:r>
      <w:r>
        <w:rPr>
          <w:rFonts w:ascii="Times New Roman" w:hAnsi="Times New Roman" w:cs="Times New Roman"/>
          <w:color w:val="000000"/>
          <w:sz w:val="24"/>
          <w:szCs w:val="24"/>
        </w:rPr>
        <w:t>ї к</w:t>
      </w:r>
      <w:r w:rsidRPr="00B1660C">
        <w:rPr>
          <w:rFonts w:ascii="Times New Roman" w:hAnsi="Times New Roman" w:cs="Times New Roman"/>
          <w:color w:val="000000"/>
          <w:sz w:val="24"/>
          <w:szCs w:val="24"/>
        </w:rPr>
        <w:t>омпонент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F30D79">
        <w:rPr>
          <w:rFonts w:ascii="Times New Roman" w:hAnsi="Times New Roman" w:cs="Times New Roman"/>
          <w:color w:val="000000"/>
          <w:sz w:val="24"/>
          <w:szCs w:val="24"/>
        </w:rPr>
        <w:t xml:space="preserve">здатності логічно та послідовно розв'язувати практичні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завдання, </w:t>
      </w:r>
      <w:r w:rsidRPr="00F30D79">
        <w:rPr>
          <w:rFonts w:ascii="Times New Roman" w:hAnsi="Times New Roman" w:cs="Times New Roman"/>
          <w:color w:val="000000"/>
          <w:sz w:val="24"/>
          <w:szCs w:val="24"/>
        </w:rPr>
        <w:t>комплексно, творчо використовувати накопичені знання. </w:t>
      </w:r>
    </w:p>
    <w:p w:rsidR="009F41A5" w:rsidRPr="009F41A5" w:rsidRDefault="009F41A5" w:rsidP="009F41A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9F4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Здобувач отримує завдання, що містить теоретичні питання, тестові завдання, визначення термінів з глосарію та виробничу ситуацію.</w:t>
      </w:r>
    </w:p>
    <w:p w:rsidR="009F41A5" w:rsidRPr="009F41A5" w:rsidRDefault="009F41A5" w:rsidP="009F41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40 балів, що можливо отримати на екзамені,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:rsidR="009F41A5" w:rsidRPr="009F41A5" w:rsidRDefault="009F41A5" w:rsidP="009F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9F4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9F41A5" w:rsidRPr="009F41A5" w:rsidRDefault="009F41A5" w:rsidP="009F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9F4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12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9F41A5" w:rsidRPr="009F41A5" w:rsidRDefault="009F41A5" w:rsidP="009F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9F4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lastRenderedPageBreak/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9F41A5" w:rsidRPr="009F41A5" w:rsidRDefault="009F41A5" w:rsidP="009F4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pPr>
      <w:r w:rsidRPr="009F41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Шкала оцінювання: національна та </w:t>
      </w:r>
      <w:r w:rsidRPr="009F41A5">
        <w:rPr>
          <w:rFonts w:ascii="Times New Roman" w:eastAsia="Times New Roman" w:hAnsi="Times New Roman" w:cs="Times New Roman"/>
          <w:b/>
          <w:spacing w:val="-8"/>
          <w:sz w:val="24"/>
          <w:szCs w:val="24"/>
          <w:shd w:val="clear" w:color="auto" w:fill="FFFFFF"/>
          <w:lang w:eastAsia="uk-UA"/>
        </w:rPr>
        <w:t>EСTS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9F41A5" w:rsidRPr="009F41A5" w:rsidTr="009F41A5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за шкалою </w:t>
            </w:r>
            <w:r w:rsidRPr="009F41A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EСTS</w:t>
            </w:r>
          </w:p>
        </w:tc>
      </w:tr>
      <w:tr w:rsidR="009F41A5" w:rsidRPr="009F41A5" w:rsidTr="009F41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Pr="009F41A5" w:rsidRDefault="009F41A5" w:rsidP="009F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(бали)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9F41A5" w:rsidRPr="009F41A5" w:rsidTr="009F41A5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(90-100)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</w:tr>
      <w:tr w:rsidR="009F41A5" w:rsidRPr="009F41A5" w:rsidTr="009F41A5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(80-89)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 добре</w:t>
            </w:r>
          </w:p>
        </w:tc>
      </w:tr>
      <w:tr w:rsidR="009F41A5" w:rsidRPr="009F41A5" w:rsidTr="009F41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Pr="009F41A5" w:rsidRDefault="009F41A5" w:rsidP="009F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(70-79)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</w:p>
        </w:tc>
      </w:tr>
      <w:tr w:rsidR="009F41A5" w:rsidRPr="009F41A5" w:rsidTr="009F41A5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(60-69)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</w:tr>
      <w:tr w:rsidR="009F41A5" w:rsidRPr="009F41A5" w:rsidTr="009F41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Pr="009F41A5" w:rsidRDefault="009F41A5" w:rsidP="009F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(50-59)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достатньо</w:t>
            </w:r>
          </w:p>
        </w:tc>
      </w:tr>
      <w:tr w:rsidR="009F41A5" w:rsidRPr="009F41A5" w:rsidTr="009F41A5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FХ (35-49)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9F41A5" w:rsidRPr="009F41A5" w:rsidTr="009F41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Pr="009F41A5" w:rsidRDefault="009F41A5" w:rsidP="009F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 (1-34)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F41A5" w:rsidRDefault="009F41A5" w:rsidP="009F4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9F41A5" w:rsidRPr="009F41A5" w:rsidRDefault="009F41A5" w:rsidP="009F41A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1A5" w:rsidRPr="009F41A5" w:rsidRDefault="009F41A5" w:rsidP="009F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9F4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9F41A5" w:rsidRPr="009F41A5" w:rsidRDefault="009F41A5" w:rsidP="009F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9F4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«В» за умови такого розкриття теоретичного питання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9F41A5" w:rsidRPr="009F41A5" w:rsidRDefault="009F41A5" w:rsidP="009F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9F4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«С» за умови повного та правильного розкриття питання білету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:rsidR="009F41A5" w:rsidRPr="009F41A5" w:rsidRDefault="009F41A5" w:rsidP="009F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9F4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9F41A5" w:rsidRPr="009F41A5" w:rsidRDefault="009F41A5" w:rsidP="009F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9F4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9F41A5" w:rsidRPr="009F41A5" w:rsidRDefault="009F41A5" w:rsidP="009F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9F4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 усіх інших випадках відповідь оцінюється на «</w:t>
      </w:r>
      <w:proofErr w:type="spellStart"/>
      <w:r w:rsidRPr="009F4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Fx</w:t>
      </w:r>
      <w:proofErr w:type="spellEnd"/>
      <w:r w:rsidRPr="009F4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».</w:t>
      </w:r>
    </w:p>
    <w:p w:rsidR="009F41A5" w:rsidRDefault="009F41A5" w:rsidP="003D62B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62B2" w:rsidRPr="00195390" w:rsidRDefault="003D62B2" w:rsidP="003D62B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Дедлайни</w:t>
      </w:r>
      <w:proofErr w:type="spellEnd"/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та перескладання.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Роботи, які здаються із порушенням термінів без поважних причин, оцінюються на нижчу оцінку. Перескладання відбувається з дозволу деканату за наявності поважних причин (наприклад, лікарняний, участь у конференції, студентській олімпіаді). </w:t>
      </w:r>
    </w:p>
    <w:p w:rsidR="003D62B2" w:rsidRPr="00195390" w:rsidRDefault="003D62B2" w:rsidP="003D62B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Академічна доброчесність.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Здобувачі вищої освіти самостійно виконують навчальні завдання, завдання поточного та підсумкового контролю результатів навчання.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разі викорис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тання ідей, розробок, тверджень о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>бов’язковим є посилання на джерела інформації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62B2" w:rsidRPr="00195390" w:rsidRDefault="003D62B2" w:rsidP="003D62B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Відвідування занять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. Відвідування занять є обов’язковою умовою виконання навчального плану дисципліни. Форми навчання визначені затвердженим графіком освітнього процесу Чернівецького національного університету імені Юрія </w:t>
      </w:r>
      <w:proofErr w:type="spellStart"/>
      <w:r w:rsidRPr="00195390">
        <w:rPr>
          <w:rFonts w:ascii="Times New Roman" w:hAnsi="Times New Roman" w:cs="Times New Roman"/>
          <w:color w:val="000000"/>
          <w:sz w:val="24"/>
          <w:szCs w:val="24"/>
        </w:rPr>
        <w:t>Федьковича</w:t>
      </w:r>
      <w:proofErr w:type="spellEnd"/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E2F5E" w:rsidRDefault="000E2F5E" w:rsidP="000E2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</w:pPr>
    </w:p>
    <w:p w:rsidR="00336753" w:rsidRDefault="00C34F32" w:rsidP="000E2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>8</w:t>
      </w:r>
      <w:r w:rsidR="00336753" w:rsidRPr="0033675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. Рекомендована література </w:t>
      </w:r>
    </w:p>
    <w:p w:rsidR="000E2F5E" w:rsidRPr="00336753" w:rsidRDefault="000E2F5E" w:rsidP="000E2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</w:pPr>
    </w:p>
    <w:p w:rsidR="00336753" w:rsidRPr="00336753" w:rsidRDefault="00C34F32" w:rsidP="000E2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kern w:val="24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>8</w:t>
      </w:r>
      <w:r w:rsidR="00336753" w:rsidRPr="0033675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.1. </w:t>
      </w:r>
      <w:r w:rsidR="00336753" w:rsidRPr="00336753">
        <w:rPr>
          <w:rFonts w:ascii="Times New Roman" w:eastAsia="Times New Roman" w:hAnsi="Times New Roman" w:cs="Times New Roman"/>
          <w:b/>
          <w:bCs/>
          <w:color w:val="000000"/>
          <w:spacing w:val="-6"/>
          <w:kern w:val="24"/>
          <w:sz w:val="24"/>
          <w:szCs w:val="24"/>
          <w:lang w:eastAsia="uk-UA"/>
        </w:rPr>
        <w:t>Базова (основна) література</w:t>
      </w:r>
    </w:p>
    <w:p w:rsidR="00336753" w:rsidRPr="003D6284" w:rsidRDefault="00336753" w:rsidP="000E2F5E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Верланов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Ю. Ю.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, 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Бурлан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С. А.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,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Верланов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О. Ю.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 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Управлінський облік: сучасна теорія і практика :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.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посібник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.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Миколаїв : Вид-во ЧДУ ім. Петра Могили, 2015. 340 с.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Голов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С.Ф. Управлінський облік. Підручник. К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и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їв : Центр учбової літератури, 2021. 534 с. 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Лабунська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С. В.,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Безкоровайна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Л. В. Управлінський облік : навчальний посібник. Харків : ХНЕУ ім. С.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Кузнеця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2016. 352 с.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lastRenderedPageBreak/>
        <w:t xml:space="preserve">Облік, аналіз, аудит і оподаткування: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.-метод. посібник /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А.І.Вергун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Т.В.Косташ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Т.М.Ковальчук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М.А.Проданчук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І.І.Никифорак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; за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д.е.н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проф. Т.М.Ковальчук. Чернівці: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Чернівец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нац. ун-т ім.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Ю.Федьковича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2020. 520 с.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Управлінський облік :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/ За ред. В. Я.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Плаксієнка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Полтава : ПП «Астрая», 2018.  250 с.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3D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Управлінський облік: </w:t>
      </w:r>
      <w:proofErr w:type="spellStart"/>
      <w:r w:rsidRPr="003D6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3D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D62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3D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Л. В. </w:t>
      </w:r>
      <w:proofErr w:type="spellStart"/>
      <w:r w:rsidRPr="003D628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Гуцаленко</w:t>
      </w:r>
      <w:proofErr w:type="spellEnd"/>
      <w:r w:rsidRPr="003D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 Київ : Центр учбової літератури, 2020. 370 с.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Управлінський облік: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/ О. М.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Брадул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та ін. Кривий Ріг : ДНУЕТ, 2017. 113 с.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Управлінський облік: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посібник / В.Д.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Зелікман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та ін. Дніпро :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НМетАУ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2017. 198 с.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Фаріон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І. Д., Писаренко Т. М. Управлінський облік : підручник. Київ : Центр учбової літератури, 2018. 792 с.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Цал-Цалко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Ю.С.,  Мороз Ю. Ю., Цегельник Н. І. Управлінський облік :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підруч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 Житомир : Рута, 2015. 631 с.</w:t>
      </w:r>
    </w:p>
    <w:p w:rsidR="00336753" w:rsidRPr="00EA46CE" w:rsidRDefault="00336753" w:rsidP="00EA46CE">
      <w:pPr>
        <w:pStyle w:val="ab"/>
        <w:numPr>
          <w:ilvl w:val="1"/>
          <w:numId w:val="2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46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>Нормативна база</w:t>
      </w:r>
    </w:p>
    <w:p w:rsidR="00336753" w:rsidRPr="00336753" w:rsidRDefault="00336753" w:rsidP="00336753">
      <w:pPr>
        <w:numPr>
          <w:ilvl w:val="0"/>
          <w:numId w:val="24"/>
        </w:numPr>
        <w:spacing w:after="0" w:line="240" w:lineRule="auto"/>
        <w:ind w:left="365" w:hangingChars="152" w:hanging="365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Інструкція про застосування Плану рахунків бухгалтерського обліку: </w:t>
      </w:r>
      <w:proofErr w:type="spellStart"/>
      <w:r w:rsidRPr="00336753">
        <w:rPr>
          <w:rFonts w:ascii="Times New Roman" w:hAnsi="Times New Roman" w:cs="Times New Roman"/>
          <w:sz w:val="24"/>
          <w:szCs w:val="24"/>
        </w:rPr>
        <w:t>затв</w:t>
      </w:r>
      <w:proofErr w:type="spellEnd"/>
      <w:r w:rsidRPr="00336753">
        <w:rPr>
          <w:rFonts w:ascii="Times New Roman" w:hAnsi="Times New Roman" w:cs="Times New Roman"/>
          <w:sz w:val="24"/>
          <w:szCs w:val="24"/>
        </w:rPr>
        <w:t xml:space="preserve">. наказом </w:t>
      </w:r>
      <w:r w:rsidRPr="00336753">
        <w:rPr>
          <w:rFonts w:ascii="Times New Roman" w:hAnsi="Times New Roman" w:cs="Times New Roman"/>
          <w:bCs/>
          <w:sz w:val="24"/>
          <w:szCs w:val="24"/>
        </w:rPr>
        <w:t>Міністерства фінансів України</w:t>
      </w:r>
      <w:r w:rsidRPr="00336753">
        <w:rPr>
          <w:rFonts w:ascii="Times New Roman" w:hAnsi="Times New Roman" w:cs="Times New Roman"/>
          <w:sz w:val="24"/>
          <w:szCs w:val="24"/>
        </w:rPr>
        <w:t xml:space="preserve"> від 30.11.99 р. № 291. </w:t>
      </w:r>
      <w:r w:rsidRPr="0033675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675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anchor="Text" w:history="1">
        <w:r w:rsidRPr="0033675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https://zakon.rada.gov.ua/laws/show/z0893-99#Text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53" w:rsidRPr="00336753" w:rsidRDefault="00336753" w:rsidP="00336753">
      <w:pPr>
        <w:numPr>
          <w:ilvl w:val="0"/>
          <w:numId w:val="24"/>
        </w:numPr>
        <w:spacing w:after="0" w:line="240" w:lineRule="auto"/>
        <w:ind w:left="365" w:hangingChars="152" w:hanging="365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Податковий кодекс України : Закон України від 2 груд. 2010 р. № 2755-VІ. URL: </w:t>
      </w:r>
      <w:hyperlink r:id="rId8" w:history="1">
        <w:r w:rsidRPr="0033675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https://zakon.rada.gov.ua/laws/show/2755-17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53" w:rsidRPr="00336753" w:rsidRDefault="00336753" w:rsidP="00336753">
      <w:pPr>
        <w:numPr>
          <w:ilvl w:val="0"/>
          <w:numId w:val="24"/>
        </w:numPr>
        <w:spacing w:after="0" w:line="240" w:lineRule="auto"/>
        <w:ind w:left="365" w:hangingChars="152" w:hanging="3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Положення (стандарт) бухгалтерського обліку 15 «Дохід» : </w:t>
      </w:r>
      <w:proofErr w:type="spellStart"/>
      <w:r w:rsidRPr="00336753">
        <w:rPr>
          <w:rFonts w:ascii="Times New Roman" w:hAnsi="Times New Roman" w:cs="Times New Roman"/>
          <w:sz w:val="24"/>
          <w:szCs w:val="24"/>
        </w:rPr>
        <w:t>з</w:t>
      </w:r>
      <w:r w:rsidRPr="00336753">
        <w:rPr>
          <w:rFonts w:ascii="Times New Roman" w:hAnsi="Times New Roman" w:cs="Times New Roman"/>
          <w:bCs/>
          <w:sz w:val="24"/>
          <w:szCs w:val="24"/>
        </w:rPr>
        <w:t>атв</w:t>
      </w:r>
      <w:proofErr w:type="spellEnd"/>
      <w:r w:rsidRPr="00336753">
        <w:rPr>
          <w:rFonts w:ascii="Times New Roman" w:hAnsi="Times New Roman" w:cs="Times New Roman"/>
          <w:bCs/>
          <w:sz w:val="24"/>
          <w:szCs w:val="24"/>
        </w:rPr>
        <w:t xml:space="preserve">. наказом Міністерства фінансів України </w:t>
      </w:r>
      <w:r w:rsidRPr="00336753">
        <w:rPr>
          <w:rFonts w:ascii="Times New Roman" w:hAnsi="Times New Roman" w:cs="Times New Roman"/>
          <w:sz w:val="24"/>
          <w:szCs w:val="24"/>
        </w:rPr>
        <w:t xml:space="preserve">від 29.11.99 р. № 290. </w:t>
      </w:r>
      <w:r w:rsidRPr="0033675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675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anchor="Text" w:history="1">
        <w:r w:rsidRPr="0033675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https://zakon.rada.gov.ua/laws/show/z0860-99#Text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53" w:rsidRPr="00336753" w:rsidRDefault="00336753" w:rsidP="00336753">
      <w:pPr>
        <w:numPr>
          <w:ilvl w:val="0"/>
          <w:numId w:val="24"/>
        </w:numPr>
        <w:spacing w:after="0" w:line="240" w:lineRule="auto"/>
        <w:ind w:left="365" w:hangingChars="152" w:hanging="365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Положення (стандарт) бухгалтерського обліку 16 «Витрати»: </w:t>
      </w:r>
      <w:proofErr w:type="spellStart"/>
      <w:r w:rsidRPr="00336753">
        <w:rPr>
          <w:rFonts w:ascii="Times New Roman" w:hAnsi="Times New Roman" w:cs="Times New Roman"/>
          <w:sz w:val="24"/>
          <w:szCs w:val="24"/>
        </w:rPr>
        <w:t>з</w:t>
      </w:r>
      <w:r w:rsidRPr="00336753">
        <w:rPr>
          <w:rFonts w:ascii="Times New Roman" w:hAnsi="Times New Roman" w:cs="Times New Roman"/>
          <w:bCs/>
          <w:sz w:val="24"/>
          <w:szCs w:val="24"/>
        </w:rPr>
        <w:t>атв</w:t>
      </w:r>
      <w:proofErr w:type="spellEnd"/>
      <w:r w:rsidRPr="00336753">
        <w:rPr>
          <w:rFonts w:ascii="Times New Roman" w:hAnsi="Times New Roman" w:cs="Times New Roman"/>
          <w:bCs/>
          <w:sz w:val="24"/>
          <w:szCs w:val="24"/>
        </w:rPr>
        <w:t xml:space="preserve">. наказом Міністерства фінансів України від </w:t>
      </w:r>
      <w:r w:rsidRPr="00336753">
        <w:rPr>
          <w:rFonts w:ascii="Times New Roman" w:hAnsi="Times New Roman" w:cs="Times New Roman"/>
          <w:sz w:val="24"/>
          <w:szCs w:val="24"/>
        </w:rPr>
        <w:t>31.12.1999 р. №</w:t>
      </w:r>
      <w:r w:rsidRPr="00336753">
        <w:rPr>
          <w:rFonts w:ascii="Times New Roman" w:hAnsi="Times New Roman" w:cs="Times New Roman"/>
          <w:bCs/>
          <w:sz w:val="24"/>
          <w:szCs w:val="24"/>
        </w:rPr>
        <w:t xml:space="preserve">318. </w:t>
      </w:r>
      <w:r w:rsidRPr="0033675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675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anchor="Text" w:history="1">
        <w:r w:rsidRPr="0033675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https://zakon.rada.gov.ua/laws/show/z0027-00#Text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53" w:rsidRPr="00336753" w:rsidRDefault="00336753" w:rsidP="00336753">
      <w:pPr>
        <w:numPr>
          <w:ilvl w:val="0"/>
          <w:numId w:val="24"/>
        </w:numPr>
        <w:spacing w:after="0" w:line="240" w:lineRule="auto"/>
        <w:ind w:left="365" w:hangingChars="152" w:hanging="365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 Про бухгалтерський облік та фінансову звітність в Україні : Закон України від 16.07.1999 р. № 996–ХІ. </w:t>
      </w:r>
      <w:r w:rsidRPr="0033675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6753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anchor="Text" w:history="1">
        <w:r w:rsidRPr="0033675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https://zakon.rada.gov.ua/laws/show/996-14#Text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53" w:rsidRPr="00336753" w:rsidRDefault="00336753" w:rsidP="00336753">
      <w:pPr>
        <w:tabs>
          <w:tab w:val="left" w:pos="1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highlight w:val="yellow"/>
          <w:lang w:eastAsia="uk-UA"/>
        </w:rPr>
      </w:pPr>
    </w:p>
    <w:p w:rsidR="00336753" w:rsidRPr="0034751C" w:rsidRDefault="00336753" w:rsidP="0034751C">
      <w:pPr>
        <w:pStyle w:val="ab"/>
        <w:numPr>
          <w:ilvl w:val="0"/>
          <w:numId w:val="27"/>
        </w:num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uk-UA"/>
        </w:rPr>
      </w:pPr>
      <w:r w:rsidRPr="0034751C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Інформаційні ресурси</w:t>
      </w:r>
    </w:p>
    <w:p w:rsidR="00336753" w:rsidRPr="00336753" w:rsidRDefault="00336753" w:rsidP="00336753">
      <w:pPr>
        <w:tabs>
          <w:tab w:val="left" w:pos="180"/>
        </w:tabs>
        <w:spacing w:after="0" w:line="240" w:lineRule="auto"/>
        <w:ind w:left="180" w:firstLine="5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6753">
        <w:rPr>
          <w:rFonts w:ascii="Times New Roman" w:hAnsi="Times New Roman" w:cs="Times New Roman"/>
          <w:sz w:val="24"/>
          <w:szCs w:val="24"/>
          <w:u w:val="single"/>
        </w:rPr>
        <w:t>Офіційні сайти органів державного управління України:</w:t>
      </w:r>
    </w:p>
    <w:p w:rsidR="00336753" w:rsidRPr="00336753" w:rsidRDefault="00336753" w:rsidP="000E56FD">
      <w:pPr>
        <w:numPr>
          <w:ilvl w:val="0"/>
          <w:numId w:val="21"/>
        </w:numPr>
        <w:tabs>
          <w:tab w:val="num" w:pos="426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33675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Верховна</w:t>
      </w:r>
      <w:r w:rsidRPr="00336753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рада </w:t>
      </w:r>
      <w:r w:rsidRPr="0033675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України</w:t>
      </w:r>
      <w:r w:rsidRPr="00336753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: </w:t>
      </w:r>
      <w:hyperlink r:id="rId12" w:history="1">
        <w:r w:rsidRPr="00336753">
          <w:rPr>
            <w:rFonts w:ascii="Times New Roman" w:hAnsi="Times New Roman" w:cs="Times New Roman"/>
            <w:color w:val="0000FF" w:themeColor="hyperlink"/>
            <w:kern w:val="24"/>
            <w:sz w:val="24"/>
            <w:szCs w:val="24"/>
            <w:u w:val="single"/>
            <w:lang w:val="ru-RU"/>
          </w:rPr>
          <w:t>https://zakon.rada.gov.ua/laws</w:t>
        </w:r>
      </w:hyperlink>
    </w:p>
    <w:p w:rsidR="00336753" w:rsidRPr="00336753" w:rsidRDefault="00336753" w:rsidP="000E56FD">
      <w:pPr>
        <w:numPr>
          <w:ilvl w:val="0"/>
          <w:numId w:val="21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Державна казначейська служба України – </w:t>
      </w:r>
      <w:hyperlink r:id="rId13" w:history="1">
        <w:r w:rsidRPr="0033675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http://www.treasury.gov.ua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6753" w:rsidRPr="00336753" w:rsidRDefault="00336753" w:rsidP="000E56FD">
      <w:pPr>
        <w:numPr>
          <w:ilvl w:val="0"/>
          <w:numId w:val="21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Державна податкова служба України - </w:t>
      </w:r>
      <w:hyperlink r:id="rId14" w:history="1">
        <w:r w:rsidRPr="0033675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https://tax.gov.ua/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53" w:rsidRPr="00336753" w:rsidRDefault="00336753" w:rsidP="000E56FD">
      <w:pPr>
        <w:numPr>
          <w:ilvl w:val="0"/>
          <w:numId w:val="21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Урядовий портал – </w:t>
      </w:r>
      <w:hyperlink r:id="rId15" w:history="1">
        <w:r w:rsidRPr="0033675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https://www.kmu.gov.ua/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53" w:rsidRPr="00336753" w:rsidRDefault="00336753" w:rsidP="000E56FD">
      <w:pPr>
        <w:numPr>
          <w:ilvl w:val="0"/>
          <w:numId w:val="21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– </w:t>
      </w:r>
      <w:hyperlink r:id="rId16" w:history="1">
        <w:r w:rsidRPr="0033675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https://mof.gov.ua/uk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53" w:rsidRPr="00336753" w:rsidRDefault="00336753" w:rsidP="00336753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6753">
        <w:rPr>
          <w:rFonts w:ascii="Times New Roman" w:hAnsi="Times New Roman" w:cs="Times New Roman"/>
          <w:sz w:val="24"/>
          <w:szCs w:val="24"/>
          <w:u w:val="single"/>
        </w:rPr>
        <w:t>Офіційні сайти наукових і електронних бібліотек в Україні:</w:t>
      </w:r>
    </w:p>
    <w:p w:rsidR="00336753" w:rsidRPr="00336753" w:rsidRDefault="00336753" w:rsidP="00336753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Національна бібліотека України ім. В.І. Вернадського – </w:t>
      </w:r>
      <w:hyperlink r:id="rId17" w:history="1">
        <w:r w:rsidRPr="0033675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www.nbuv.gov.ua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6A9C" w:rsidRPr="000E56FD" w:rsidRDefault="00336753" w:rsidP="000E56FD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Державна науково-технічна бібліотека України (ДНТБ України) – </w:t>
      </w:r>
      <w:hyperlink r:id="rId18" w:history="1">
        <w:r w:rsidRPr="0033675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https://dntb.gov.ua/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6A9C" w:rsidRPr="000E56FD" w:rsidSect="00997A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406"/>
    <w:multiLevelType w:val="hybridMultilevel"/>
    <w:tmpl w:val="65F4DCB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16944"/>
    <w:multiLevelType w:val="hybridMultilevel"/>
    <w:tmpl w:val="3E98AD18"/>
    <w:lvl w:ilvl="0" w:tplc="96C6C27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0C76D0"/>
    <w:multiLevelType w:val="hybridMultilevel"/>
    <w:tmpl w:val="37901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57A6"/>
    <w:multiLevelType w:val="hybridMultilevel"/>
    <w:tmpl w:val="31A61F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68B3"/>
    <w:multiLevelType w:val="hybridMultilevel"/>
    <w:tmpl w:val="FED84556"/>
    <w:lvl w:ilvl="0" w:tplc="7E168D4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732E82"/>
    <w:multiLevelType w:val="hybridMultilevel"/>
    <w:tmpl w:val="4B9E7398"/>
    <w:lvl w:ilvl="0" w:tplc="0E620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C0372"/>
    <w:multiLevelType w:val="multilevel"/>
    <w:tmpl w:val="976211A2"/>
    <w:lvl w:ilvl="0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 w15:restartNumberingAfterBreak="0">
    <w:nsid w:val="31345D45"/>
    <w:multiLevelType w:val="multilevel"/>
    <w:tmpl w:val="C1BCC4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b/>
        <w:color w:val="000000"/>
      </w:rPr>
    </w:lvl>
  </w:abstractNum>
  <w:abstractNum w:abstractNumId="8" w15:restartNumberingAfterBreak="0">
    <w:nsid w:val="32BC0427"/>
    <w:multiLevelType w:val="hybridMultilevel"/>
    <w:tmpl w:val="04929AC2"/>
    <w:lvl w:ilvl="0" w:tplc="F19809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3C3B8F"/>
    <w:multiLevelType w:val="hybridMultilevel"/>
    <w:tmpl w:val="EE76C3E6"/>
    <w:lvl w:ilvl="0" w:tplc="98B4C98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BF12F7"/>
    <w:multiLevelType w:val="multilevel"/>
    <w:tmpl w:val="8C16C7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1" w15:restartNumberingAfterBreak="0">
    <w:nsid w:val="3A133CBD"/>
    <w:multiLevelType w:val="multilevel"/>
    <w:tmpl w:val="744AC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2" w15:restartNumberingAfterBreak="0">
    <w:nsid w:val="42D76B9D"/>
    <w:multiLevelType w:val="hybridMultilevel"/>
    <w:tmpl w:val="06F8B606"/>
    <w:lvl w:ilvl="0" w:tplc="96C6C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0474D2"/>
    <w:multiLevelType w:val="hybridMultilevel"/>
    <w:tmpl w:val="996AE64C"/>
    <w:lvl w:ilvl="0" w:tplc="6CFEE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A335D"/>
    <w:multiLevelType w:val="hybridMultilevel"/>
    <w:tmpl w:val="427AD64A"/>
    <w:lvl w:ilvl="0" w:tplc="8DF8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E2AF4"/>
    <w:multiLevelType w:val="hybridMultilevel"/>
    <w:tmpl w:val="2ACE8940"/>
    <w:lvl w:ilvl="0" w:tplc="27044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604AAD"/>
    <w:multiLevelType w:val="multilevel"/>
    <w:tmpl w:val="179AE2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8" w15:restartNumberingAfterBreak="0">
    <w:nsid w:val="4F454E6A"/>
    <w:multiLevelType w:val="multilevel"/>
    <w:tmpl w:val="DDDA96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  <w:color w:val="000000"/>
      </w:rPr>
    </w:lvl>
  </w:abstractNum>
  <w:abstractNum w:abstractNumId="19" w15:restartNumberingAfterBreak="0">
    <w:nsid w:val="5014650D"/>
    <w:multiLevelType w:val="hybridMultilevel"/>
    <w:tmpl w:val="FFC84D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D4726"/>
    <w:multiLevelType w:val="hybridMultilevel"/>
    <w:tmpl w:val="80802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E4BED"/>
    <w:multiLevelType w:val="hybridMultilevel"/>
    <w:tmpl w:val="10305E6E"/>
    <w:lvl w:ilvl="0" w:tplc="06648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2801F0"/>
    <w:multiLevelType w:val="hybridMultilevel"/>
    <w:tmpl w:val="5D6C732A"/>
    <w:lvl w:ilvl="0" w:tplc="7CE4C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51EC1"/>
    <w:multiLevelType w:val="hybridMultilevel"/>
    <w:tmpl w:val="492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DC5C85"/>
    <w:multiLevelType w:val="hybridMultilevel"/>
    <w:tmpl w:val="50B0F662"/>
    <w:lvl w:ilvl="0" w:tplc="B4828D56">
      <w:start w:val="1"/>
      <w:numFmt w:val="decimal"/>
      <w:lvlText w:val="%1."/>
      <w:lvlJc w:val="left"/>
      <w:pPr>
        <w:ind w:left="721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1" w:hanging="360"/>
      </w:pPr>
    </w:lvl>
    <w:lvl w:ilvl="2" w:tplc="0422001B" w:tentative="1">
      <w:start w:val="1"/>
      <w:numFmt w:val="lowerRoman"/>
      <w:lvlText w:val="%3."/>
      <w:lvlJc w:val="right"/>
      <w:pPr>
        <w:ind w:left="2161" w:hanging="180"/>
      </w:pPr>
    </w:lvl>
    <w:lvl w:ilvl="3" w:tplc="0422000F" w:tentative="1">
      <w:start w:val="1"/>
      <w:numFmt w:val="decimal"/>
      <w:lvlText w:val="%4."/>
      <w:lvlJc w:val="left"/>
      <w:pPr>
        <w:ind w:left="2881" w:hanging="360"/>
      </w:pPr>
    </w:lvl>
    <w:lvl w:ilvl="4" w:tplc="04220019" w:tentative="1">
      <w:start w:val="1"/>
      <w:numFmt w:val="lowerLetter"/>
      <w:lvlText w:val="%5."/>
      <w:lvlJc w:val="left"/>
      <w:pPr>
        <w:ind w:left="3601" w:hanging="360"/>
      </w:pPr>
    </w:lvl>
    <w:lvl w:ilvl="5" w:tplc="0422001B" w:tentative="1">
      <w:start w:val="1"/>
      <w:numFmt w:val="lowerRoman"/>
      <w:lvlText w:val="%6."/>
      <w:lvlJc w:val="right"/>
      <w:pPr>
        <w:ind w:left="4321" w:hanging="180"/>
      </w:pPr>
    </w:lvl>
    <w:lvl w:ilvl="6" w:tplc="0422000F" w:tentative="1">
      <w:start w:val="1"/>
      <w:numFmt w:val="decimal"/>
      <w:lvlText w:val="%7."/>
      <w:lvlJc w:val="left"/>
      <w:pPr>
        <w:ind w:left="5041" w:hanging="360"/>
      </w:pPr>
    </w:lvl>
    <w:lvl w:ilvl="7" w:tplc="04220019" w:tentative="1">
      <w:start w:val="1"/>
      <w:numFmt w:val="lowerLetter"/>
      <w:lvlText w:val="%8."/>
      <w:lvlJc w:val="left"/>
      <w:pPr>
        <w:ind w:left="5761" w:hanging="360"/>
      </w:pPr>
    </w:lvl>
    <w:lvl w:ilvl="8" w:tplc="0422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794E6513"/>
    <w:multiLevelType w:val="hybridMultilevel"/>
    <w:tmpl w:val="321842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7"/>
  </w:num>
  <w:num w:numId="8">
    <w:abstractNumId w:val="3"/>
  </w:num>
  <w:num w:numId="9">
    <w:abstractNumId w:val="16"/>
  </w:num>
  <w:num w:numId="10">
    <w:abstractNumId w:val="23"/>
  </w:num>
  <w:num w:numId="11">
    <w:abstractNumId w:val="1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2"/>
  </w:num>
  <w:num w:numId="17">
    <w:abstractNumId w:val="11"/>
  </w:num>
  <w:num w:numId="18">
    <w:abstractNumId w:val="4"/>
  </w:num>
  <w:num w:numId="19">
    <w:abstractNumId w:val="5"/>
  </w:num>
  <w:num w:numId="20">
    <w:abstractNumId w:val="2"/>
  </w:num>
  <w:num w:numId="21">
    <w:abstractNumId w:val="26"/>
  </w:num>
  <w:num w:numId="22">
    <w:abstractNumId w:val="21"/>
  </w:num>
  <w:num w:numId="23">
    <w:abstractNumId w:val="19"/>
  </w:num>
  <w:num w:numId="24">
    <w:abstractNumId w:val="13"/>
  </w:num>
  <w:num w:numId="25">
    <w:abstractNumId w:val="18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5"/>
    <w:rsid w:val="00011384"/>
    <w:rsid w:val="0001627D"/>
    <w:rsid w:val="0002212F"/>
    <w:rsid w:val="000221B1"/>
    <w:rsid w:val="00047E99"/>
    <w:rsid w:val="000537DB"/>
    <w:rsid w:val="00053AB4"/>
    <w:rsid w:val="000551E4"/>
    <w:rsid w:val="00056C1D"/>
    <w:rsid w:val="00073911"/>
    <w:rsid w:val="000856F8"/>
    <w:rsid w:val="00097C08"/>
    <w:rsid w:val="000C698F"/>
    <w:rsid w:val="000D062D"/>
    <w:rsid w:val="000D0725"/>
    <w:rsid w:val="000D55E4"/>
    <w:rsid w:val="000E2F5E"/>
    <w:rsid w:val="000E56FD"/>
    <w:rsid w:val="000F039E"/>
    <w:rsid w:val="000F0B18"/>
    <w:rsid w:val="00103ACF"/>
    <w:rsid w:val="00105634"/>
    <w:rsid w:val="00105FDE"/>
    <w:rsid w:val="001360E2"/>
    <w:rsid w:val="0015279B"/>
    <w:rsid w:val="00165CAE"/>
    <w:rsid w:val="0018534D"/>
    <w:rsid w:val="001902F2"/>
    <w:rsid w:val="001941D1"/>
    <w:rsid w:val="00194372"/>
    <w:rsid w:val="001B7B15"/>
    <w:rsid w:val="001D663F"/>
    <w:rsid w:val="001D68D1"/>
    <w:rsid w:val="001E05E3"/>
    <w:rsid w:val="001E5F58"/>
    <w:rsid w:val="002049B9"/>
    <w:rsid w:val="002231DB"/>
    <w:rsid w:val="00224B4B"/>
    <w:rsid w:val="00241875"/>
    <w:rsid w:val="00261D14"/>
    <w:rsid w:val="00273433"/>
    <w:rsid w:val="00281B56"/>
    <w:rsid w:val="00281B83"/>
    <w:rsid w:val="00293262"/>
    <w:rsid w:val="002F3E8F"/>
    <w:rsid w:val="003129DF"/>
    <w:rsid w:val="00314052"/>
    <w:rsid w:val="00320FFF"/>
    <w:rsid w:val="00321F52"/>
    <w:rsid w:val="0033135F"/>
    <w:rsid w:val="00336753"/>
    <w:rsid w:val="003372C1"/>
    <w:rsid w:val="003450A2"/>
    <w:rsid w:val="0034751C"/>
    <w:rsid w:val="00351858"/>
    <w:rsid w:val="003521D8"/>
    <w:rsid w:val="00357D08"/>
    <w:rsid w:val="003614CA"/>
    <w:rsid w:val="003859A4"/>
    <w:rsid w:val="003906B9"/>
    <w:rsid w:val="0039341A"/>
    <w:rsid w:val="003A1C64"/>
    <w:rsid w:val="003B0569"/>
    <w:rsid w:val="003C09CE"/>
    <w:rsid w:val="003C28E5"/>
    <w:rsid w:val="003D317E"/>
    <w:rsid w:val="003D3952"/>
    <w:rsid w:val="003D6284"/>
    <w:rsid w:val="003D62B2"/>
    <w:rsid w:val="003E0526"/>
    <w:rsid w:val="003F1992"/>
    <w:rsid w:val="003F787E"/>
    <w:rsid w:val="0043474D"/>
    <w:rsid w:val="00434D95"/>
    <w:rsid w:val="004366C9"/>
    <w:rsid w:val="00447CF5"/>
    <w:rsid w:val="004540F4"/>
    <w:rsid w:val="00463387"/>
    <w:rsid w:val="00470462"/>
    <w:rsid w:val="004825FC"/>
    <w:rsid w:val="004938C2"/>
    <w:rsid w:val="004B38AF"/>
    <w:rsid w:val="004B7A93"/>
    <w:rsid w:val="004F574E"/>
    <w:rsid w:val="00514F1F"/>
    <w:rsid w:val="00515DC1"/>
    <w:rsid w:val="00522E8B"/>
    <w:rsid w:val="00524B98"/>
    <w:rsid w:val="00534C13"/>
    <w:rsid w:val="00544EAB"/>
    <w:rsid w:val="00545DD1"/>
    <w:rsid w:val="00552F5E"/>
    <w:rsid w:val="0055634B"/>
    <w:rsid w:val="00562C57"/>
    <w:rsid w:val="005B1E22"/>
    <w:rsid w:val="005C661C"/>
    <w:rsid w:val="005E011F"/>
    <w:rsid w:val="00600123"/>
    <w:rsid w:val="00626CB7"/>
    <w:rsid w:val="006425D3"/>
    <w:rsid w:val="00643B30"/>
    <w:rsid w:val="00655D2C"/>
    <w:rsid w:val="00664F90"/>
    <w:rsid w:val="006650D2"/>
    <w:rsid w:val="00666A96"/>
    <w:rsid w:val="006835C9"/>
    <w:rsid w:val="006E2CE2"/>
    <w:rsid w:val="006E4631"/>
    <w:rsid w:val="006E49A9"/>
    <w:rsid w:val="006F6194"/>
    <w:rsid w:val="00716ED2"/>
    <w:rsid w:val="00743086"/>
    <w:rsid w:val="007820FF"/>
    <w:rsid w:val="00783F1F"/>
    <w:rsid w:val="007941E2"/>
    <w:rsid w:val="007947A7"/>
    <w:rsid w:val="00796C18"/>
    <w:rsid w:val="007A7B9A"/>
    <w:rsid w:val="007C3E86"/>
    <w:rsid w:val="007E0A96"/>
    <w:rsid w:val="007E13EE"/>
    <w:rsid w:val="007E73FB"/>
    <w:rsid w:val="008207F6"/>
    <w:rsid w:val="00821D35"/>
    <w:rsid w:val="00823BC1"/>
    <w:rsid w:val="00824338"/>
    <w:rsid w:val="00832B9C"/>
    <w:rsid w:val="00842510"/>
    <w:rsid w:val="00851ECF"/>
    <w:rsid w:val="008550DD"/>
    <w:rsid w:val="00865F76"/>
    <w:rsid w:val="0087006A"/>
    <w:rsid w:val="00885036"/>
    <w:rsid w:val="008A08EF"/>
    <w:rsid w:val="008A6BD9"/>
    <w:rsid w:val="008B0242"/>
    <w:rsid w:val="008C0F2F"/>
    <w:rsid w:val="008C1BF8"/>
    <w:rsid w:val="008E0F76"/>
    <w:rsid w:val="009229C5"/>
    <w:rsid w:val="00957111"/>
    <w:rsid w:val="009667E2"/>
    <w:rsid w:val="00975345"/>
    <w:rsid w:val="00977EA4"/>
    <w:rsid w:val="009834F2"/>
    <w:rsid w:val="009920A6"/>
    <w:rsid w:val="00992113"/>
    <w:rsid w:val="00997A79"/>
    <w:rsid w:val="009B569B"/>
    <w:rsid w:val="009D3D7E"/>
    <w:rsid w:val="009D763A"/>
    <w:rsid w:val="009F3EB8"/>
    <w:rsid w:val="009F41A5"/>
    <w:rsid w:val="009F5DDE"/>
    <w:rsid w:val="00A00951"/>
    <w:rsid w:val="00A03F3A"/>
    <w:rsid w:val="00A1227C"/>
    <w:rsid w:val="00A146DD"/>
    <w:rsid w:val="00A212E4"/>
    <w:rsid w:val="00A344F7"/>
    <w:rsid w:val="00A36062"/>
    <w:rsid w:val="00A531D7"/>
    <w:rsid w:val="00A53E44"/>
    <w:rsid w:val="00A54C38"/>
    <w:rsid w:val="00A61445"/>
    <w:rsid w:val="00A70946"/>
    <w:rsid w:val="00A71CCA"/>
    <w:rsid w:val="00AA6115"/>
    <w:rsid w:val="00AA7566"/>
    <w:rsid w:val="00AB1477"/>
    <w:rsid w:val="00AB353E"/>
    <w:rsid w:val="00AB48C6"/>
    <w:rsid w:val="00AC49D3"/>
    <w:rsid w:val="00AC4F63"/>
    <w:rsid w:val="00AC7048"/>
    <w:rsid w:val="00AD6075"/>
    <w:rsid w:val="00AE63FC"/>
    <w:rsid w:val="00B255CE"/>
    <w:rsid w:val="00B27A31"/>
    <w:rsid w:val="00B3264C"/>
    <w:rsid w:val="00B345F8"/>
    <w:rsid w:val="00B37B7D"/>
    <w:rsid w:val="00B51762"/>
    <w:rsid w:val="00B6757A"/>
    <w:rsid w:val="00B80C30"/>
    <w:rsid w:val="00B85F12"/>
    <w:rsid w:val="00B86A39"/>
    <w:rsid w:val="00B87C04"/>
    <w:rsid w:val="00BA4150"/>
    <w:rsid w:val="00BD1DB9"/>
    <w:rsid w:val="00BE7964"/>
    <w:rsid w:val="00BF48C5"/>
    <w:rsid w:val="00C16832"/>
    <w:rsid w:val="00C241EE"/>
    <w:rsid w:val="00C24F0D"/>
    <w:rsid w:val="00C34F32"/>
    <w:rsid w:val="00C36EBB"/>
    <w:rsid w:val="00C37E0D"/>
    <w:rsid w:val="00C45D11"/>
    <w:rsid w:val="00C56B93"/>
    <w:rsid w:val="00C56E8C"/>
    <w:rsid w:val="00C64DF4"/>
    <w:rsid w:val="00C91534"/>
    <w:rsid w:val="00CA5276"/>
    <w:rsid w:val="00CB0931"/>
    <w:rsid w:val="00CB4495"/>
    <w:rsid w:val="00CE311E"/>
    <w:rsid w:val="00CE4E24"/>
    <w:rsid w:val="00CF7F45"/>
    <w:rsid w:val="00D00787"/>
    <w:rsid w:val="00D0122D"/>
    <w:rsid w:val="00D16A9C"/>
    <w:rsid w:val="00D40206"/>
    <w:rsid w:val="00D51ABD"/>
    <w:rsid w:val="00D53FCD"/>
    <w:rsid w:val="00D563B4"/>
    <w:rsid w:val="00D66021"/>
    <w:rsid w:val="00D810C1"/>
    <w:rsid w:val="00D90D86"/>
    <w:rsid w:val="00DC02BC"/>
    <w:rsid w:val="00DC1137"/>
    <w:rsid w:val="00DC45A3"/>
    <w:rsid w:val="00DC7489"/>
    <w:rsid w:val="00DD4BC7"/>
    <w:rsid w:val="00DE0199"/>
    <w:rsid w:val="00DE3FC0"/>
    <w:rsid w:val="00E1102E"/>
    <w:rsid w:val="00E11033"/>
    <w:rsid w:val="00E17335"/>
    <w:rsid w:val="00E235C8"/>
    <w:rsid w:val="00E26F6C"/>
    <w:rsid w:val="00E30B4C"/>
    <w:rsid w:val="00E46357"/>
    <w:rsid w:val="00E5009F"/>
    <w:rsid w:val="00E553E7"/>
    <w:rsid w:val="00E66367"/>
    <w:rsid w:val="00E80C5A"/>
    <w:rsid w:val="00E932BE"/>
    <w:rsid w:val="00EA272B"/>
    <w:rsid w:val="00EA46CE"/>
    <w:rsid w:val="00EB4C51"/>
    <w:rsid w:val="00EC026F"/>
    <w:rsid w:val="00ED3817"/>
    <w:rsid w:val="00F15FC6"/>
    <w:rsid w:val="00F41B6A"/>
    <w:rsid w:val="00F5295D"/>
    <w:rsid w:val="00F55E5E"/>
    <w:rsid w:val="00F646E9"/>
    <w:rsid w:val="00F77798"/>
    <w:rsid w:val="00F84E16"/>
    <w:rsid w:val="00FA1745"/>
    <w:rsid w:val="00FC1194"/>
    <w:rsid w:val="00FC6028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587F"/>
  <w15:docId w15:val="{DA870C05-3102-4C05-8939-F9A05CAE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81B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02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Body Text Indent"/>
    <w:basedOn w:val="a"/>
    <w:link w:val="a9"/>
    <w:rsid w:val="001E05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1E05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a">
    <w:name w:val="Table Grid"/>
    <w:basedOn w:val="a1"/>
    <w:uiPriority w:val="59"/>
    <w:rsid w:val="00B3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13" Type="http://schemas.openxmlformats.org/officeDocument/2006/relationships/hyperlink" Target="http://www.treasury.gov.ua" TargetMode="External"/><Relationship Id="rId18" Type="http://schemas.openxmlformats.org/officeDocument/2006/relationships/hyperlink" Target="https://dntb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893-99" TargetMode="External"/><Relationship Id="rId12" Type="http://schemas.openxmlformats.org/officeDocument/2006/relationships/hyperlink" Target="https://zakon.rada.gov.ua/laws" TargetMode="External"/><Relationship Id="rId17" Type="http://schemas.openxmlformats.org/officeDocument/2006/relationships/hyperlink" Target="http://www.nbuv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f.gov.ua/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odle.chnu.edu.ua/course/view.php?id=490" TargetMode="External"/><Relationship Id="rId11" Type="http://schemas.openxmlformats.org/officeDocument/2006/relationships/hyperlink" Target="https://zakon.rada.gov.ua/laws/show/996-14" TargetMode="External"/><Relationship Id="rId5" Type="http://schemas.openxmlformats.org/officeDocument/2006/relationships/hyperlink" Target="http://econom.chnu.edu.ua/kafedry-ekonomichnogo-fakultetu/kafedra-obliku-analizu-i-audytu/kolektyv-kafedry/kostash-tetyana-viktorivna" TargetMode="External"/><Relationship Id="rId15" Type="http://schemas.openxmlformats.org/officeDocument/2006/relationships/hyperlink" Target="https://www.kmu.gov.ua/" TargetMode="External"/><Relationship Id="rId10" Type="http://schemas.openxmlformats.org/officeDocument/2006/relationships/hyperlink" Target="https://zakon.rada.gov.ua/laws/show/z0027-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860-99" TargetMode="External"/><Relationship Id="rId14" Type="http://schemas.openxmlformats.org/officeDocument/2006/relationships/hyperlink" Target="https://tax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53</cp:revision>
  <dcterms:created xsi:type="dcterms:W3CDTF">2020-09-27T18:44:00Z</dcterms:created>
  <dcterms:modified xsi:type="dcterms:W3CDTF">2023-12-03T10:10:00Z</dcterms:modified>
</cp:coreProperties>
</file>