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3"/>
        <w:gridCol w:w="7655"/>
      </w:tblGrid>
      <w:tr w:rsidR="00E34EE3" w:rsidTr="001063FA">
        <w:tc>
          <w:tcPr>
            <w:tcW w:w="1701" w:type="dxa"/>
            <w:vMerge w:val="restart"/>
            <w:vAlign w:val="center"/>
          </w:tcPr>
          <w:p w:rsidR="00E34EE3" w:rsidRDefault="00E34EE3" w:rsidP="00E34EE3">
            <w:pPr>
              <w:widowControl w:val="0"/>
              <w:rPr>
                <w:rFonts w:ascii="Times New Roman" w:hAnsi="Times New Roman" w:cs="Times New Roman"/>
                <w:sz w:val="28"/>
                <w:szCs w:val="28"/>
              </w:rPr>
            </w:pPr>
            <w:r w:rsidRPr="009B6495">
              <w:rPr>
                <w:b/>
                <w:noProof/>
                <w:color w:val="833C0B" w:themeColor="accent2" w:themeShade="80"/>
                <w:sz w:val="28"/>
                <w:szCs w:val="28"/>
                <w:lang w:eastAsia="uk-UA"/>
              </w:rPr>
              <w:drawing>
                <wp:anchor distT="0" distB="0" distL="114300" distR="114300" simplePos="0" relativeHeight="251659264" behindDoc="1" locked="0" layoutInCell="1" allowOverlap="1" wp14:anchorId="107B59D4" wp14:editId="6731D4AF">
                  <wp:simplePos x="0" y="0"/>
                  <wp:positionH relativeFrom="column">
                    <wp:posOffset>-19050</wp:posOffset>
                  </wp:positionH>
                  <wp:positionV relativeFrom="paragraph">
                    <wp:posOffset>-19685</wp:posOffset>
                  </wp:positionV>
                  <wp:extent cx="1162050" cy="10160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 w:type="dxa"/>
            <w:vAlign w:val="center"/>
          </w:tcPr>
          <w:p w:rsidR="00E34EE3" w:rsidRDefault="00E34EE3" w:rsidP="00E34EE3">
            <w:pPr>
              <w:widowControl w:val="0"/>
              <w:jc w:val="both"/>
              <w:rPr>
                <w:rFonts w:ascii="Times New Roman" w:hAnsi="Times New Roman" w:cs="Times New Roman"/>
                <w:sz w:val="28"/>
                <w:szCs w:val="28"/>
              </w:rPr>
            </w:pPr>
          </w:p>
        </w:tc>
        <w:tc>
          <w:tcPr>
            <w:tcW w:w="7655" w:type="dxa"/>
            <w:vAlign w:val="center"/>
          </w:tcPr>
          <w:p w:rsidR="00E34EE3" w:rsidRPr="001063FA" w:rsidRDefault="00E34EE3" w:rsidP="00E34EE3">
            <w:pPr>
              <w:widowControl w:val="0"/>
              <w:jc w:val="center"/>
              <w:rPr>
                <w:rFonts w:ascii="Times New Roman" w:hAnsi="Times New Roman" w:cs="Times New Roman"/>
                <w:b/>
                <w:caps/>
                <w:sz w:val="28"/>
                <w:szCs w:val="28"/>
              </w:rPr>
            </w:pPr>
            <w:r w:rsidRPr="001063FA">
              <w:rPr>
                <w:rFonts w:ascii="Times New Roman" w:hAnsi="Times New Roman" w:cs="Times New Roman"/>
                <w:b/>
                <w:caps/>
                <w:sz w:val="28"/>
                <w:szCs w:val="28"/>
              </w:rPr>
              <w:t>Силабус навчальної дисципліни</w:t>
            </w:r>
          </w:p>
        </w:tc>
      </w:tr>
      <w:tr w:rsidR="00E34EE3" w:rsidTr="001063FA">
        <w:tc>
          <w:tcPr>
            <w:tcW w:w="1701" w:type="dxa"/>
            <w:vMerge/>
            <w:vAlign w:val="center"/>
          </w:tcPr>
          <w:p w:rsidR="00E34EE3" w:rsidRDefault="00E34EE3" w:rsidP="00E34EE3">
            <w:pPr>
              <w:widowControl w:val="0"/>
              <w:jc w:val="both"/>
              <w:rPr>
                <w:rFonts w:ascii="Times New Roman" w:hAnsi="Times New Roman" w:cs="Times New Roman"/>
                <w:sz w:val="28"/>
                <w:szCs w:val="28"/>
              </w:rPr>
            </w:pPr>
          </w:p>
        </w:tc>
        <w:tc>
          <w:tcPr>
            <w:tcW w:w="283" w:type="dxa"/>
            <w:vAlign w:val="center"/>
          </w:tcPr>
          <w:p w:rsidR="00E34EE3" w:rsidRDefault="00E34EE3" w:rsidP="00E34EE3">
            <w:pPr>
              <w:widowControl w:val="0"/>
              <w:jc w:val="both"/>
              <w:rPr>
                <w:rFonts w:ascii="Times New Roman" w:hAnsi="Times New Roman" w:cs="Times New Roman"/>
                <w:sz w:val="28"/>
                <w:szCs w:val="28"/>
              </w:rPr>
            </w:pPr>
          </w:p>
        </w:tc>
        <w:tc>
          <w:tcPr>
            <w:tcW w:w="7655" w:type="dxa"/>
            <w:vAlign w:val="center"/>
          </w:tcPr>
          <w:p w:rsidR="00E34EE3" w:rsidRPr="001063FA" w:rsidRDefault="00E34EE3" w:rsidP="007E2A31">
            <w:pPr>
              <w:widowControl w:val="0"/>
              <w:jc w:val="center"/>
              <w:rPr>
                <w:rFonts w:ascii="Times New Roman" w:hAnsi="Times New Roman" w:cs="Times New Roman"/>
                <w:b/>
                <w:caps/>
                <w:sz w:val="28"/>
                <w:szCs w:val="28"/>
              </w:rPr>
            </w:pPr>
            <w:r w:rsidRPr="001063FA">
              <w:rPr>
                <w:rFonts w:ascii="Times New Roman" w:hAnsi="Times New Roman" w:cs="Times New Roman"/>
                <w:b/>
                <w:caps/>
                <w:sz w:val="28"/>
                <w:szCs w:val="28"/>
              </w:rPr>
              <w:t>«</w:t>
            </w:r>
            <w:r w:rsidR="009852F3">
              <w:rPr>
                <w:rFonts w:ascii="Times New Roman" w:hAnsi="Times New Roman" w:cs="Times New Roman"/>
                <w:b/>
                <w:caps/>
                <w:sz w:val="28"/>
                <w:szCs w:val="28"/>
              </w:rPr>
              <w:t xml:space="preserve">МІЖНАРОДНІ СТАНДАРТИ </w:t>
            </w:r>
            <w:r w:rsidR="007E2A31">
              <w:rPr>
                <w:rFonts w:ascii="Times New Roman" w:hAnsi="Times New Roman" w:cs="Times New Roman"/>
                <w:b/>
                <w:caps/>
                <w:sz w:val="28"/>
                <w:szCs w:val="28"/>
              </w:rPr>
              <w:t>фінансової звітності</w:t>
            </w:r>
            <w:r w:rsidRPr="001063FA">
              <w:rPr>
                <w:rFonts w:ascii="Times New Roman" w:hAnsi="Times New Roman" w:cs="Times New Roman"/>
                <w:b/>
                <w:caps/>
                <w:sz w:val="28"/>
                <w:szCs w:val="28"/>
              </w:rPr>
              <w:t>»</w:t>
            </w:r>
          </w:p>
        </w:tc>
      </w:tr>
      <w:tr w:rsidR="00E34EE3" w:rsidTr="001063FA">
        <w:trPr>
          <w:trHeight w:val="1037"/>
        </w:trPr>
        <w:tc>
          <w:tcPr>
            <w:tcW w:w="1701" w:type="dxa"/>
            <w:vMerge/>
            <w:vAlign w:val="center"/>
          </w:tcPr>
          <w:p w:rsidR="00E34EE3" w:rsidRDefault="00E34EE3" w:rsidP="00E34EE3">
            <w:pPr>
              <w:widowControl w:val="0"/>
              <w:jc w:val="both"/>
              <w:rPr>
                <w:rFonts w:ascii="Times New Roman" w:hAnsi="Times New Roman" w:cs="Times New Roman"/>
                <w:sz w:val="28"/>
                <w:szCs w:val="28"/>
              </w:rPr>
            </w:pPr>
          </w:p>
        </w:tc>
        <w:tc>
          <w:tcPr>
            <w:tcW w:w="283" w:type="dxa"/>
            <w:vAlign w:val="center"/>
          </w:tcPr>
          <w:p w:rsidR="00E34EE3" w:rsidRDefault="00E34EE3" w:rsidP="00E34EE3">
            <w:pPr>
              <w:widowControl w:val="0"/>
              <w:jc w:val="both"/>
              <w:rPr>
                <w:rFonts w:ascii="Times New Roman" w:hAnsi="Times New Roman" w:cs="Times New Roman"/>
                <w:sz w:val="28"/>
                <w:szCs w:val="28"/>
              </w:rPr>
            </w:pPr>
          </w:p>
        </w:tc>
        <w:tc>
          <w:tcPr>
            <w:tcW w:w="7655" w:type="dxa"/>
            <w:vAlign w:val="center"/>
          </w:tcPr>
          <w:p w:rsidR="00E34EE3" w:rsidRPr="001063FA" w:rsidRDefault="00E34EE3" w:rsidP="009876D7">
            <w:pPr>
              <w:widowControl w:val="0"/>
              <w:jc w:val="both"/>
              <w:rPr>
                <w:rFonts w:ascii="Times New Roman" w:hAnsi="Times New Roman" w:cs="Times New Roman"/>
                <w:b/>
                <w:sz w:val="28"/>
                <w:szCs w:val="28"/>
              </w:rPr>
            </w:pPr>
            <w:r w:rsidRPr="001063FA">
              <w:rPr>
                <w:rFonts w:ascii="Times New Roman" w:hAnsi="Times New Roman" w:cs="Times New Roman"/>
                <w:b/>
                <w:sz w:val="28"/>
                <w:szCs w:val="28"/>
              </w:rPr>
              <w:t xml:space="preserve">Компонента освітньої програми – </w:t>
            </w:r>
            <w:r w:rsidR="009876D7">
              <w:rPr>
                <w:rFonts w:ascii="Times New Roman" w:hAnsi="Times New Roman" w:cs="Times New Roman"/>
                <w:b/>
                <w:sz w:val="28"/>
                <w:szCs w:val="28"/>
              </w:rPr>
              <w:t>вибіркова</w:t>
            </w:r>
            <w:bookmarkStart w:id="0" w:name="_GoBack"/>
            <w:bookmarkEnd w:id="0"/>
            <w:r w:rsidRPr="001063FA">
              <w:rPr>
                <w:rFonts w:ascii="Times New Roman" w:hAnsi="Times New Roman" w:cs="Times New Roman"/>
                <w:b/>
                <w:sz w:val="28"/>
                <w:szCs w:val="28"/>
              </w:rPr>
              <w:t xml:space="preserve"> (</w:t>
            </w:r>
            <w:r w:rsidR="00EE6408">
              <w:rPr>
                <w:rFonts w:ascii="Times New Roman" w:hAnsi="Times New Roman" w:cs="Times New Roman"/>
                <w:b/>
                <w:sz w:val="28"/>
                <w:szCs w:val="28"/>
              </w:rPr>
              <w:t xml:space="preserve">4 </w:t>
            </w:r>
            <w:r w:rsidRPr="001063FA">
              <w:rPr>
                <w:rFonts w:ascii="Times New Roman" w:hAnsi="Times New Roman" w:cs="Times New Roman"/>
                <w:b/>
                <w:sz w:val="28"/>
                <w:szCs w:val="28"/>
              </w:rPr>
              <w:t>кредит</w:t>
            </w:r>
            <w:r w:rsidR="00EE6408">
              <w:rPr>
                <w:rFonts w:ascii="Times New Roman" w:hAnsi="Times New Roman" w:cs="Times New Roman"/>
                <w:b/>
                <w:sz w:val="28"/>
                <w:szCs w:val="28"/>
              </w:rPr>
              <w:t>и</w:t>
            </w:r>
            <w:r w:rsidRPr="001063FA">
              <w:rPr>
                <w:rFonts w:ascii="Times New Roman" w:hAnsi="Times New Roman" w:cs="Times New Roman"/>
                <w:b/>
                <w:sz w:val="28"/>
                <w:szCs w:val="28"/>
              </w:rPr>
              <w:t>)</w:t>
            </w:r>
          </w:p>
        </w:tc>
      </w:tr>
    </w:tbl>
    <w:p w:rsidR="00EE2923" w:rsidRPr="00E34EE3" w:rsidRDefault="00EE2923" w:rsidP="00E34EE3">
      <w:pPr>
        <w:widowControl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477"/>
        <w:gridCol w:w="5378"/>
      </w:tblGrid>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Освітньо-професійна програма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 xml:space="preserve">Облік і оподаткування </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Спеціальність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071 «Облік і оподаткування»</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Галузь знань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07 «Управління та адміністрування»</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Рівень вищої освіти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перший (бакалаврський)</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Мова навчання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українська</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Профайл викладача </w:t>
            </w:r>
          </w:p>
        </w:tc>
        <w:tc>
          <w:tcPr>
            <w:tcW w:w="4815" w:type="dxa"/>
            <w:vAlign w:val="center"/>
          </w:tcPr>
          <w:p w:rsidR="00EF7B16" w:rsidRPr="001063FA" w:rsidRDefault="009852F3" w:rsidP="00E34EE3">
            <w:pPr>
              <w:widowControl w:val="0"/>
              <w:jc w:val="both"/>
              <w:rPr>
                <w:rFonts w:ascii="Times New Roman" w:hAnsi="Times New Roman" w:cs="Times New Roman"/>
                <w:sz w:val="24"/>
                <w:szCs w:val="24"/>
              </w:rPr>
            </w:pPr>
            <w:r>
              <w:rPr>
                <w:rFonts w:ascii="Times New Roman" w:hAnsi="Times New Roman" w:cs="Times New Roman"/>
                <w:sz w:val="24"/>
                <w:szCs w:val="24"/>
              </w:rPr>
              <w:t>Танасієва Марина Миколаївна</w:t>
            </w:r>
            <w:r w:rsidR="000204E0" w:rsidRPr="001063FA">
              <w:rPr>
                <w:rFonts w:ascii="Times New Roman" w:hAnsi="Times New Roman" w:cs="Times New Roman"/>
                <w:sz w:val="24"/>
                <w:szCs w:val="24"/>
              </w:rPr>
              <w:t xml:space="preserve"> – кандидат економічний наук, доцент, </w:t>
            </w:r>
            <w:r>
              <w:rPr>
                <w:rFonts w:ascii="Times New Roman" w:hAnsi="Times New Roman" w:cs="Times New Roman"/>
                <w:sz w:val="24"/>
                <w:szCs w:val="24"/>
              </w:rPr>
              <w:t>асистент</w:t>
            </w:r>
            <w:r w:rsidR="000204E0" w:rsidRPr="001063FA">
              <w:rPr>
                <w:rFonts w:ascii="Times New Roman" w:hAnsi="Times New Roman" w:cs="Times New Roman"/>
                <w:sz w:val="24"/>
                <w:szCs w:val="24"/>
              </w:rPr>
              <w:t xml:space="preserve"> кафедри обліку, аналізу і аудиту </w:t>
            </w:r>
          </w:p>
          <w:p w:rsidR="000204E0" w:rsidRPr="001063FA" w:rsidRDefault="009876D7" w:rsidP="00E34EE3">
            <w:pPr>
              <w:widowControl w:val="0"/>
              <w:jc w:val="both"/>
              <w:rPr>
                <w:rFonts w:ascii="Times New Roman" w:hAnsi="Times New Roman" w:cs="Times New Roman"/>
                <w:sz w:val="24"/>
                <w:szCs w:val="24"/>
              </w:rPr>
            </w:pPr>
            <w:hyperlink r:id="rId7" w:history="1">
              <w:r w:rsidR="009852F3" w:rsidRPr="00295782">
                <w:rPr>
                  <w:rStyle w:val="a7"/>
                  <w:rFonts w:ascii="Times New Roman" w:hAnsi="Times New Roman" w:cs="Times New Roman"/>
                  <w:sz w:val="24"/>
                  <w:szCs w:val="24"/>
                </w:rPr>
                <w:t>http://econom.chnu.edu.ua/kafedry-ekonomichnogo-fakultetu/kafedra-obliku-analizu-i-audytu/kolektyv-kafedry/tanasiyeva-maryna-mykolayivna</w:t>
              </w:r>
            </w:hyperlink>
            <w:r w:rsidR="009852F3">
              <w:rPr>
                <w:rFonts w:ascii="Times New Roman" w:hAnsi="Times New Roman" w:cs="Times New Roman"/>
                <w:sz w:val="24"/>
                <w:szCs w:val="24"/>
              </w:rPr>
              <w:t xml:space="preserve"> </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Контактний телефон</w:t>
            </w:r>
          </w:p>
        </w:tc>
        <w:tc>
          <w:tcPr>
            <w:tcW w:w="4815" w:type="dxa"/>
            <w:vAlign w:val="center"/>
          </w:tcPr>
          <w:p w:rsidR="00EF7B16" w:rsidRPr="001063FA" w:rsidRDefault="000204E0" w:rsidP="009852F3">
            <w:pPr>
              <w:widowControl w:val="0"/>
              <w:jc w:val="both"/>
              <w:rPr>
                <w:rFonts w:ascii="Times New Roman" w:hAnsi="Times New Roman" w:cs="Times New Roman"/>
                <w:sz w:val="24"/>
                <w:szCs w:val="24"/>
              </w:rPr>
            </w:pPr>
            <w:r w:rsidRPr="001063FA">
              <w:rPr>
                <w:rFonts w:ascii="Times New Roman" w:eastAsia="Times New Roman" w:hAnsi="Times New Roman" w:cs="Times New Roman"/>
                <w:sz w:val="24"/>
                <w:szCs w:val="24"/>
              </w:rPr>
              <w:t>+38(0</w:t>
            </w:r>
            <w:r w:rsidR="009852F3">
              <w:rPr>
                <w:rFonts w:ascii="Times New Roman" w:eastAsia="Times New Roman" w:hAnsi="Times New Roman" w:cs="Times New Roman"/>
                <w:sz w:val="24"/>
                <w:szCs w:val="24"/>
              </w:rPr>
              <w:t>50</w:t>
            </w:r>
            <w:r w:rsidRPr="001063FA">
              <w:rPr>
                <w:rFonts w:ascii="Times New Roman" w:eastAsia="Times New Roman" w:hAnsi="Times New Roman" w:cs="Times New Roman"/>
                <w:sz w:val="24"/>
                <w:szCs w:val="24"/>
              </w:rPr>
              <w:t>)</w:t>
            </w:r>
            <w:r w:rsidR="009852F3">
              <w:rPr>
                <w:rFonts w:ascii="Times New Roman" w:eastAsia="Times New Roman" w:hAnsi="Times New Roman" w:cs="Times New Roman"/>
                <w:sz w:val="24"/>
                <w:szCs w:val="24"/>
              </w:rPr>
              <w:t>9669932</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lang w:val="en-US"/>
              </w:rPr>
            </w:pPr>
            <w:r w:rsidRPr="001063FA">
              <w:rPr>
                <w:rFonts w:ascii="Times New Roman" w:hAnsi="Times New Roman" w:cs="Times New Roman"/>
                <w:b/>
                <w:sz w:val="24"/>
                <w:szCs w:val="24"/>
                <w:lang w:val="en-US"/>
              </w:rPr>
              <w:t xml:space="preserve">E-mail </w:t>
            </w:r>
          </w:p>
        </w:tc>
        <w:tc>
          <w:tcPr>
            <w:tcW w:w="4815" w:type="dxa"/>
            <w:vAlign w:val="center"/>
          </w:tcPr>
          <w:p w:rsidR="00EF7B16" w:rsidRPr="001063FA" w:rsidRDefault="009876D7" w:rsidP="009852F3">
            <w:pPr>
              <w:widowControl w:val="0"/>
              <w:jc w:val="both"/>
              <w:rPr>
                <w:rFonts w:ascii="Times New Roman" w:hAnsi="Times New Roman" w:cs="Times New Roman"/>
                <w:sz w:val="24"/>
                <w:szCs w:val="24"/>
              </w:rPr>
            </w:pPr>
            <w:hyperlink r:id="rId8" w:history="1">
              <w:r w:rsidR="009852F3" w:rsidRPr="00295782">
                <w:rPr>
                  <w:rStyle w:val="a7"/>
                  <w:rFonts w:ascii="Times New Roman" w:eastAsia="Times New Roman" w:hAnsi="Times New Roman" w:cs="Times New Roman"/>
                  <w:sz w:val="24"/>
                  <w:szCs w:val="24"/>
                  <w:lang w:val="en-US"/>
                </w:rPr>
                <w:t>m.tanasiyeva</w:t>
              </w:r>
              <w:r w:rsidR="009852F3" w:rsidRPr="00295782">
                <w:rPr>
                  <w:rStyle w:val="a7"/>
                  <w:rFonts w:ascii="Times New Roman" w:eastAsia="Times New Roman" w:hAnsi="Times New Roman" w:cs="Times New Roman"/>
                  <w:sz w:val="24"/>
                  <w:szCs w:val="24"/>
                </w:rPr>
                <w:t>@</w:t>
              </w:r>
              <w:r w:rsidR="009852F3" w:rsidRPr="00295782">
                <w:rPr>
                  <w:rStyle w:val="a7"/>
                  <w:rFonts w:ascii="Times New Roman" w:eastAsia="Times New Roman" w:hAnsi="Times New Roman" w:cs="Times New Roman"/>
                  <w:sz w:val="24"/>
                  <w:szCs w:val="24"/>
                  <w:lang w:val="en-US"/>
                </w:rPr>
                <w:t>chnu</w:t>
              </w:r>
              <w:r w:rsidR="009852F3" w:rsidRPr="00295782">
                <w:rPr>
                  <w:rStyle w:val="a7"/>
                  <w:rFonts w:ascii="Times New Roman" w:eastAsia="Times New Roman" w:hAnsi="Times New Roman" w:cs="Times New Roman"/>
                  <w:sz w:val="24"/>
                  <w:szCs w:val="24"/>
                </w:rPr>
                <w:t>.</w:t>
              </w:r>
              <w:r w:rsidR="009852F3" w:rsidRPr="00295782">
                <w:rPr>
                  <w:rStyle w:val="a7"/>
                  <w:rFonts w:ascii="Times New Roman" w:eastAsia="Times New Roman" w:hAnsi="Times New Roman" w:cs="Times New Roman"/>
                  <w:sz w:val="24"/>
                  <w:szCs w:val="24"/>
                  <w:lang w:val="en-US"/>
                </w:rPr>
                <w:t>edu</w:t>
              </w:r>
              <w:r w:rsidR="009852F3" w:rsidRPr="00295782">
                <w:rPr>
                  <w:rStyle w:val="a7"/>
                  <w:rFonts w:ascii="Times New Roman" w:eastAsia="Times New Roman" w:hAnsi="Times New Roman" w:cs="Times New Roman"/>
                  <w:sz w:val="24"/>
                  <w:szCs w:val="24"/>
                </w:rPr>
                <w:t>.</w:t>
              </w:r>
              <w:proofErr w:type="spellStart"/>
              <w:r w:rsidR="009852F3" w:rsidRPr="00295782">
                <w:rPr>
                  <w:rStyle w:val="a7"/>
                  <w:rFonts w:ascii="Times New Roman" w:eastAsia="Times New Roman" w:hAnsi="Times New Roman" w:cs="Times New Roman"/>
                  <w:sz w:val="24"/>
                  <w:szCs w:val="24"/>
                  <w:lang w:val="en-US"/>
                </w:rPr>
                <w:t>ua</w:t>
              </w:r>
              <w:proofErr w:type="spellEnd"/>
            </w:hyperlink>
            <w:r w:rsidR="009852F3">
              <w:rPr>
                <w:rFonts w:ascii="Times New Roman" w:eastAsia="Times New Roman" w:hAnsi="Times New Roman" w:cs="Times New Roman"/>
                <w:sz w:val="24"/>
                <w:szCs w:val="24"/>
                <w:lang w:val="en-US"/>
              </w:rPr>
              <w:t xml:space="preserve">  </w:t>
            </w:r>
          </w:p>
        </w:tc>
      </w:tr>
      <w:tr w:rsidR="00EF7B16" w:rsidRPr="001063FA" w:rsidTr="00EF7B16">
        <w:tc>
          <w:tcPr>
            <w:tcW w:w="4814" w:type="dxa"/>
            <w:vAlign w:val="center"/>
          </w:tcPr>
          <w:p w:rsidR="00EF7B16" w:rsidRPr="009852F3" w:rsidRDefault="00EF7B16" w:rsidP="00E34EE3">
            <w:pPr>
              <w:widowControl w:val="0"/>
              <w:jc w:val="both"/>
              <w:rPr>
                <w:rFonts w:ascii="Times New Roman" w:hAnsi="Times New Roman" w:cs="Times New Roman"/>
                <w:b/>
                <w:sz w:val="24"/>
                <w:szCs w:val="24"/>
                <w:lang w:val="ru-RU"/>
              </w:rPr>
            </w:pPr>
            <w:r w:rsidRPr="001063FA">
              <w:rPr>
                <w:rFonts w:ascii="Times New Roman" w:hAnsi="Times New Roman" w:cs="Times New Roman"/>
                <w:b/>
                <w:sz w:val="24"/>
                <w:szCs w:val="24"/>
              </w:rPr>
              <w:t xml:space="preserve">Сторінка курсу в </w:t>
            </w:r>
            <w:r w:rsidRPr="001063FA">
              <w:rPr>
                <w:rFonts w:ascii="Times New Roman" w:hAnsi="Times New Roman" w:cs="Times New Roman"/>
                <w:b/>
                <w:sz w:val="24"/>
                <w:szCs w:val="24"/>
                <w:lang w:val="en-US"/>
              </w:rPr>
              <w:t>Moodle</w:t>
            </w:r>
          </w:p>
        </w:tc>
        <w:tc>
          <w:tcPr>
            <w:tcW w:w="4815" w:type="dxa"/>
            <w:vAlign w:val="center"/>
          </w:tcPr>
          <w:p w:rsidR="00EF7B16" w:rsidRPr="009852F3" w:rsidRDefault="009876D7" w:rsidP="00E34EE3">
            <w:pPr>
              <w:widowControl w:val="0"/>
              <w:jc w:val="both"/>
              <w:rPr>
                <w:rFonts w:ascii="Times New Roman" w:hAnsi="Times New Roman" w:cs="Times New Roman"/>
                <w:sz w:val="24"/>
                <w:szCs w:val="24"/>
                <w:lang w:val="ru-RU"/>
              </w:rPr>
            </w:pPr>
            <w:hyperlink r:id="rId9" w:history="1">
              <w:r w:rsidR="009852F3" w:rsidRPr="009852F3">
                <w:rPr>
                  <w:rStyle w:val="a7"/>
                  <w:rFonts w:ascii="Times New Roman" w:hAnsi="Times New Roman" w:cs="Times New Roman"/>
                  <w:sz w:val="24"/>
                  <w:szCs w:val="24"/>
                </w:rPr>
                <w:t>https://moodle.chnu.edu.ua/course/view.php?id=2771</w:t>
              </w:r>
            </w:hyperlink>
            <w:r w:rsidR="009852F3" w:rsidRPr="009852F3">
              <w:rPr>
                <w:rFonts w:ascii="Times New Roman" w:hAnsi="Times New Roman" w:cs="Times New Roman"/>
                <w:sz w:val="24"/>
                <w:szCs w:val="24"/>
                <w:lang w:val="ru-RU"/>
              </w:rPr>
              <w:t xml:space="preserve"> </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Консультації</w:t>
            </w:r>
          </w:p>
        </w:tc>
        <w:tc>
          <w:tcPr>
            <w:tcW w:w="4815" w:type="dxa"/>
            <w:vAlign w:val="center"/>
          </w:tcPr>
          <w:p w:rsidR="00EF7B16" w:rsidRPr="009852F3" w:rsidRDefault="009852F3" w:rsidP="00E34EE3">
            <w:pPr>
              <w:widowControl w:val="0"/>
              <w:jc w:val="both"/>
              <w:rPr>
                <w:rFonts w:ascii="Times New Roman" w:hAnsi="Times New Roman" w:cs="Times New Roman"/>
                <w:sz w:val="24"/>
                <w:szCs w:val="24"/>
              </w:rPr>
            </w:pPr>
            <w:r>
              <w:rPr>
                <w:rFonts w:ascii="Times New Roman" w:hAnsi="Times New Roman" w:cs="Times New Roman"/>
                <w:sz w:val="24"/>
                <w:szCs w:val="24"/>
              </w:rPr>
              <w:t>Згідно графіку</w:t>
            </w:r>
          </w:p>
        </w:tc>
      </w:tr>
    </w:tbl>
    <w:p w:rsidR="00E34EE3" w:rsidRDefault="00E34EE3" w:rsidP="00E34EE3">
      <w:pPr>
        <w:widowControl w:val="0"/>
        <w:spacing w:after="0" w:line="240" w:lineRule="auto"/>
        <w:jc w:val="both"/>
        <w:rPr>
          <w:rFonts w:ascii="Times New Roman" w:hAnsi="Times New Roman" w:cs="Times New Roman"/>
          <w:sz w:val="28"/>
          <w:szCs w:val="28"/>
        </w:rPr>
      </w:pPr>
    </w:p>
    <w:p w:rsidR="00EF7B16" w:rsidRPr="009B2B9B" w:rsidRDefault="009B2B9B" w:rsidP="009B2B9B">
      <w:pPr>
        <w:widowControl w:val="0"/>
        <w:spacing w:after="0" w:line="240" w:lineRule="auto"/>
        <w:jc w:val="center"/>
        <w:rPr>
          <w:rFonts w:ascii="Times New Roman" w:hAnsi="Times New Roman" w:cs="Times New Roman"/>
          <w:b/>
          <w:caps/>
          <w:sz w:val="28"/>
          <w:szCs w:val="28"/>
        </w:rPr>
      </w:pPr>
      <w:r w:rsidRPr="009B2B9B">
        <w:rPr>
          <w:rFonts w:ascii="Times New Roman" w:hAnsi="Times New Roman" w:cs="Times New Roman"/>
          <w:b/>
          <w:caps/>
          <w:sz w:val="28"/>
          <w:szCs w:val="28"/>
        </w:rPr>
        <w:t>Анотація навчальної дисципліни</w:t>
      </w:r>
    </w:p>
    <w:p w:rsidR="007E2A31" w:rsidRDefault="007E2A31" w:rsidP="007E2A31">
      <w:pPr>
        <w:tabs>
          <w:tab w:val="left" w:pos="1134"/>
        </w:tabs>
        <w:spacing w:after="0" w:line="240" w:lineRule="auto"/>
        <w:ind w:firstLine="720"/>
        <w:jc w:val="both"/>
        <w:rPr>
          <w:rFonts w:ascii="Times New Roman" w:hAnsi="Times New Roman" w:cs="Times New Roman"/>
          <w:sz w:val="28"/>
          <w:szCs w:val="28"/>
        </w:rPr>
      </w:pPr>
      <w:r w:rsidRPr="007E2A31">
        <w:rPr>
          <w:rFonts w:ascii="Times New Roman" w:hAnsi="Times New Roman" w:cs="Times New Roman"/>
          <w:sz w:val="28"/>
          <w:szCs w:val="28"/>
        </w:rPr>
        <w:t>Євроінтеграційні процеси, що тривають в Україні надають можливості виходу вітчизняних компаній на світовий ринок. Застосування Міжнародних стандартів бухгалтерського обліку та фінансової звітності забезпечує зрозумілість, доступність та надійність інформаційної системи бухгалтерського обліку та фінансової звітності для інших суб’єктів міжнародного валютного ринку. Тому для усунення економічних та торговельних бар’єрів й активізації надходження іноземних інвестицій важливо будувати систему обліку та складання фінансової звітності, як основного засобу ведення міжнародного бізнесу, на вимогах МСБО. Все це вимагає підготовки висококваліфікованих кадрів зі спеціальності облік і оподаткування, які б мали змогу забезпечити розробку та (або) трансформацію системи обліку та звітності з національних до міжнародних стандартів. Цей факт зумовлює потребу ґрунтовних знань особливостей та сфери застосування МСБО (МСФЗ) та належної організації бухгалтерського обліку вітчизняних суб’єктів господарювання згідно їхніх вимог.</w:t>
      </w:r>
    </w:p>
    <w:p w:rsidR="007E2A31" w:rsidRPr="007E2A31" w:rsidRDefault="007E2A31" w:rsidP="007E2A31">
      <w:pPr>
        <w:tabs>
          <w:tab w:val="left" w:pos="1134"/>
        </w:tabs>
        <w:spacing w:after="0" w:line="240" w:lineRule="auto"/>
        <w:ind w:firstLine="720"/>
        <w:jc w:val="both"/>
        <w:rPr>
          <w:rFonts w:ascii="Times New Roman" w:hAnsi="Times New Roman" w:cs="Times New Roman"/>
          <w:sz w:val="28"/>
          <w:szCs w:val="28"/>
        </w:rPr>
      </w:pPr>
      <w:r w:rsidRPr="007E2A31">
        <w:rPr>
          <w:rFonts w:ascii="Times New Roman" w:hAnsi="Times New Roman" w:cs="Times New Roman"/>
          <w:sz w:val="28"/>
          <w:szCs w:val="28"/>
        </w:rPr>
        <w:t>Мета навчальної дисципліни (МСФЗ):</w:t>
      </w:r>
      <w:r w:rsidRPr="007E2A31">
        <w:rPr>
          <w:rFonts w:ascii="Times New Roman" w:hAnsi="Times New Roman" w:cs="Times New Roman"/>
          <w:b/>
          <w:sz w:val="28"/>
          <w:szCs w:val="28"/>
        </w:rPr>
        <w:t xml:space="preserve"> </w:t>
      </w:r>
      <w:r w:rsidRPr="007E2A31">
        <w:rPr>
          <w:rFonts w:ascii="Times New Roman" w:hAnsi="Times New Roman" w:cs="Times New Roman"/>
          <w:sz w:val="28"/>
          <w:szCs w:val="28"/>
        </w:rPr>
        <w:t>засвоєння теоретичних основ міжнародних стандартів бухгалтерського обліку та</w:t>
      </w:r>
      <w:r w:rsidRPr="007E2A31">
        <w:rPr>
          <w:rFonts w:ascii="Times New Roman" w:hAnsi="Times New Roman" w:cs="Times New Roman"/>
          <w:b/>
          <w:sz w:val="28"/>
          <w:szCs w:val="28"/>
        </w:rPr>
        <w:t xml:space="preserve"> </w:t>
      </w:r>
      <w:r w:rsidRPr="007E2A31">
        <w:rPr>
          <w:rFonts w:ascii="Times New Roman" w:hAnsi="Times New Roman" w:cs="Times New Roman"/>
          <w:sz w:val="28"/>
          <w:szCs w:val="28"/>
        </w:rPr>
        <w:t>звітності,</w:t>
      </w:r>
      <w:r w:rsidRPr="007E2A31">
        <w:rPr>
          <w:rFonts w:ascii="Times New Roman" w:hAnsi="Times New Roman" w:cs="Times New Roman"/>
          <w:b/>
          <w:sz w:val="28"/>
          <w:szCs w:val="28"/>
        </w:rPr>
        <w:t xml:space="preserve"> </w:t>
      </w:r>
      <w:r w:rsidRPr="007E2A31">
        <w:rPr>
          <w:rFonts w:ascii="Times New Roman" w:hAnsi="Times New Roman" w:cs="Times New Roman"/>
          <w:sz w:val="28"/>
          <w:szCs w:val="28"/>
        </w:rPr>
        <w:t>вироблення практичних навичок ведення обліку і складання фінансової звітності відповідно до вимог Міжнародних стандартів фінансової звітності.</w:t>
      </w:r>
    </w:p>
    <w:p w:rsidR="009B2B9B" w:rsidRDefault="009B2B9B" w:rsidP="009B2B9B">
      <w:pPr>
        <w:widowControl w:val="0"/>
        <w:spacing w:after="0" w:line="240" w:lineRule="auto"/>
        <w:ind w:firstLine="567"/>
        <w:jc w:val="both"/>
        <w:rPr>
          <w:rFonts w:ascii="Times New Roman" w:hAnsi="Times New Roman" w:cs="Times New Roman"/>
          <w:sz w:val="28"/>
          <w:szCs w:val="28"/>
        </w:rPr>
      </w:pPr>
    </w:p>
    <w:p w:rsidR="009B2B9B" w:rsidRPr="009B2B9B" w:rsidRDefault="009B2B9B" w:rsidP="009B2B9B">
      <w:pPr>
        <w:widowControl w:val="0"/>
        <w:spacing w:after="0" w:line="240" w:lineRule="auto"/>
        <w:jc w:val="center"/>
        <w:rPr>
          <w:rFonts w:ascii="Times New Roman" w:hAnsi="Times New Roman" w:cs="Times New Roman"/>
          <w:b/>
          <w:caps/>
          <w:sz w:val="28"/>
          <w:szCs w:val="28"/>
        </w:rPr>
      </w:pPr>
      <w:r w:rsidRPr="009B2B9B">
        <w:rPr>
          <w:rFonts w:ascii="Times New Roman" w:hAnsi="Times New Roman" w:cs="Times New Roman"/>
          <w:b/>
          <w:caps/>
          <w:sz w:val="28"/>
          <w:szCs w:val="28"/>
        </w:rPr>
        <w:t>Навчальний контент освітньої компоненти</w:t>
      </w:r>
    </w:p>
    <w:tbl>
      <w:tblPr>
        <w:tblStyle w:val="a3"/>
        <w:tblW w:w="0" w:type="auto"/>
        <w:tblLook w:val="04A0" w:firstRow="1" w:lastRow="0" w:firstColumn="1" w:lastColumn="0" w:noHBand="0" w:noVBand="1"/>
      </w:tblPr>
      <w:tblGrid>
        <w:gridCol w:w="1413"/>
        <w:gridCol w:w="8216"/>
      </w:tblGrid>
      <w:tr w:rsidR="002E5CD8" w:rsidRPr="00672B4B" w:rsidTr="00CF0C89">
        <w:tc>
          <w:tcPr>
            <w:tcW w:w="9629" w:type="dxa"/>
            <w:gridSpan w:val="2"/>
            <w:vAlign w:val="center"/>
          </w:tcPr>
          <w:p w:rsidR="002E5CD8" w:rsidRPr="00672B4B" w:rsidRDefault="002E5CD8" w:rsidP="007E2A31">
            <w:pPr>
              <w:widowControl w:val="0"/>
              <w:jc w:val="center"/>
              <w:rPr>
                <w:rFonts w:ascii="Times New Roman" w:hAnsi="Times New Roman" w:cs="Times New Roman"/>
                <w:b/>
                <w:caps/>
                <w:sz w:val="24"/>
                <w:szCs w:val="24"/>
              </w:rPr>
            </w:pPr>
            <w:r w:rsidRPr="00672B4B">
              <w:rPr>
                <w:rFonts w:ascii="Times New Roman" w:hAnsi="Times New Roman" w:cs="Times New Roman"/>
                <w:b/>
                <w:caps/>
                <w:sz w:val="24"/>
                <w:szCs w:val="24"/>
              </w:rPr>
              <w:t>Модуль 1.</w:t>
            </w:r>
            <w:r w:rsidR="001063FA" w:rsidRPr="00672B4B">
              <w:rPr>
                <w:rFonts w:ascii="Times New Roman" w:hAnsi="Times New Roman" w:cs="Times New Roman"/>
                <w:b/>
                <w:caps/>
                <w:sz w:val="24"/>
                <w:szCs w:val="24"/>
              </w:rPr>
              <w:t xml:space="preserve"> </w:t>
            </w:r>
            <w:r w:rsidR="004139CC" w:rsidRPr="004139CC">
              <w:rPr>
                <w:rFonts w:ascii="Times New Roman" w:hAnsi="Times New Roman" w:cs="Times New Roman"/>
                <w:b/>
                <w:bCs/>
                <w:sz w:val="24"/>
                <w:szCs w:val="24"/>
              </w:rPr>
              <w:t>ОСНОВНІ ПРИНЦИПИ, СТРУКТУРА ТА ПОДАННЯ МС</w:t>
            </w:r>
            <w:r w:rsidR="007E2A31">
              <w:rPr>
                <w:rFonts w:ascii="Times New Roman" w:hAnsi="Times New Roman" w:cs="Times New Roman"/>
                <w:b/>
                <w:bCs/>
                <w:sz w:val="24"/>
                <w:szCs w:val="24"/>
              </w:rPr>
              <w:t>ФЗ</w:t>
            </w:r>
          </w:p>
        </w:tc>
      </w:tr>
      <w:tr w:rsidR="004139CC" w:rsidRPr="00672B4B" w:rsidTr="00DB1343">
        <w:tc>
          <w:tcPr>
            <w:tcW w:w="1413" w:type="dxa"/>
            <w:vAlign w:val="center"/>
          </w:tcPr>
          <w:p w:rsidR="004139CC" w:rsidRPr="00672B4B" w:rsidRDefault="004139CC" w:rsidP="009B2B9B">
            <w:pPr>
              <w:widowControl w:val="0"/>
              <w:jc w:val="both"/>
              <w:rPr>
                <w:rFonts w:ascii="Times New Roman" w:hAnsi="Times New Roman" w:cs="Times New Roman"/>
                <w:b/>
                <w:sz w:val="24"/>
                <w:szCs w:val="24"/>
              </w:rPr>
            </w:pPr>
            <w:r w:rsidRPr="00672B4B">
              <w:rPr>
                <w:rFonts w:ascii="Times New Roman" w:hAnsi="Times New Roman" w:cs="Times New Roman"/>
                <w:b/>
                <w:sz w:val="24"/>
                <w:szCs w:val="24"/>
              </w:rPr>
              <w:t>Тема 1</w:t>
            </w:r>
          </w:p>
        </w:tc>
        <w:tc>
          <w:tcPr>
            <w:tcW w:w="8216" w:type="dxa"/>
          </w:tcPr>
          <w:p w:rsidR="004139CC" w:rsidRPr="004139CC" w:rsidRDefault="004139CC" w:rsidP="00006802">
            <w:pPr>
              <w:jc w:val="both"/>
              <w:rPr>
                <w:rFonts w:ascii="Times New Roman" w:hAnsi="Times New Roman" w:cs="Times New Roman"/>
                <w:sz w:val="24"/>
                <w:szCs w:val="24"/>
              </w:rPr>
            </w:pPr>
            <w:r w:rsidRPr="004139CC">
              <w:rPr>
                <w:rFonts w:ascii="Times New Roman" w:hAnsi="Times New Roman" w:cs="Times New Roman"/>
                <w:bCs/>
                <w:sz w:val="24"/>
                <w:szCs w:val="24"/>
              </w:rPr>
              <w:t>Міжнародні стандарти бухгалтерського обліку, їх розробка та впровадження</w:t>
            </w:r>
          </w:p>
        </w:tc>
      </w:tr>
      <w:tr w:rsidR="004139CC" w:rsidRPr="00672B4B" w:rsidTr="00DB1343">
        <w:tc>
          <w:tcPr>
            <w:tcW w:w="1413" w:type="dxa"/>
            <w:vAlign w:val="center"/>
          </w:tcPr>
          <w:p w:rsidR="004139CC" w:rsidRPr="00672B4B" w:rsidRDefault="004139CC" w:rsidP="009B2B9B">
            <w:pPr>
              <w:widowControl w:val="0"/>
              <w:jc w:val="both"/>
              <w:rPr>
                <w:rFonts w:ascii="Times New Roman" w:hAnsi="Times New Roman" w:cs="Times New Roman"/>
                <w:b/>
                <w:sz w:val="24"/>
                <w:szCs w:val="24"/>
              </w:rPr>
            </w:pPr>
            <w:r w:rsidRPr="00672B4B">
              <w:rPr>
                <w:rFonts w:ascii="Times New Roman" w:hAnsi="Times New Roman" w:cs="Times New Roman"/>
                <w:b/>
                <w:sz w:val="24"/>
                <w:szCs w:val="24"/>
              </w:rPr>
              <w:t>Тема 2</w:t>
            </w:r>
          </w:p>
        </w:tc>
        <w:tc>
          <w:tcPr>
            <w:tcW w:w="8216" w:type="dxa"/>
          </w:tcPr>
          <w:p w:rsidR="004139CC" w:rsidRPr="004139CC" w:rsidRDefault="004139CC" w:rsidP="007E2A31">
            <w:pPr>
              <w:pStyle w:val="Default"/>
              <w:jc w:val="both"/>
              <w:rPr>
                <w:lang w:val="uk-UA"/>
              </w:rPr>
            </w:pPr>
            <w:proofErr w:type="spellStart"/>
            <w:r w:rsidRPr="004139CC">
              <w:rPr>
                <w:bCs/>
              </w:rPr>
              <w:t>Основні</w:t>
            </w:r>
            <w:proofErr w:type="spellEnd"/>
            <w:r w:rsidRPr="004139CC">
              <w:rPr>
                <w:bCs/>
              </w:rPr>
              <w:t xml:space="preserve"> </w:t>
            </w:r>
            <w:proofErr w:type="spellStart"/>
            <w:r w:rsidRPr="004139CC">
              <w:rPr>
                <w:bCs/>
              </w:rPr>
              <w:t>форми</w:t>
            </w:r>
            <w:proofErr w:type="spellEnd"/>
            <w:r w:rsidRPr="004139CC">
              <w:rPr>
                <w:bCs/>
              </w:rPr>
              <w:t xml:space="preserve"> </w:t>
            </w:r>
            <w:proofErr w:type="spellStart"/>
            <w:r w:rsidRPr="004139CC">
              <w:rPr>
                <w:bCs/>
              </w:rPr>
              <w:t>фінансової</w:t>
            </w:r>
            <w:proofErr w:type="spellEnd"/>
            <w:r w:rsidRPr="004139CC">
              <w:rPr>
                <w:bCs/>
              </w:rPr>
              <w:t xml:space="preserve"> </w:t>
            </w:r>
            <w:proofErr w:type="spellStart"/>
            <w:r w:rsidRPr="004139CC">
              <w:rPr>
                <w:bCs/>
              </w:rPr>
              <w:t>звітності</w:t>
            </w:r>
            <w:proofErr w:type="spellEnd"/>
            <w:r w:rsidRPr="004139CC">
              <w:rPr>
                <w:bCs/>
                <w:lang w:val="uk-UA"/>
              </w:rPr>
              <w:t xml:space="preserve"> за МС</w:t>
            </w:r>
            <w:r w:rsidR="007E2A31">
              <w:rPr>
                <w:bCs/>
                <w:lang w:val="uk-UA"/>
              </w:rPr>
              <w:t>ФЗ</w:t>
            </w:r>
          </w:p>
        </w:tc>
      </w:tr>
      <w:tr w:rsidR="004139CC" w:rsidRPr="00672B4B" w:rsidTr="00DB1343">
        <w:tc>
          <w:tcPr>
            <w:tcW w:w="1413" w:type="dxa"/>
            <w:vAlign w:val="center"/>
          </w:tcPr>
          <w:p w:rsidR="004139CC" w:rsidRPr="00672B4B" w:rsidRDefault="004139CC" w:rsidP="009B2B9B">
            <w:pPr>
              <w:widowControl w:val="0"/>
              <w:jc w:val="both"/>
              <w:rPr>
                <w:rFonts w:ascii="Times New Roman" w:hAnsi="Times New Roman" w:cs="Times New Roman"/>
                <w:b/>
                <w:sz w:val="24"/>
                <w:szCs w:val="24"/>
              </w:rPr>
            </w:pPr>
            <w:r w:rsidRPr="00672B4B">
              <w:rPr>
                <w:rFonts w:ascii="Times New Roman" w:hAnsi="Times New Roman" w:cs="Times New Roman"/>
                <w:b/>
                <w:sz w:val="24"/>
                <w:szCs w:val="24"/>
              </w:rPr>
              <w:t>Тема 3</w:t>
            </w:r>
          </w:p>
        </w:tc>
        <w:tc>
          <w:tcPr>
            <w:tcW w:w="8216" w:type="dxa"/>
          </w:tcPr>
          <w:p w:rsidR="004139CC" w:rsidRPr="004139CC" w:rsidRDefault="004139CC" w:rsidP="00006802">
            <w:pPr>
              <w:pStyle w:val="Default"/>
              <w:jc w:val="both"/>
              <w:rPr>
                <w:lang w:val="uk-UA"/>
              </w:rPr>
            </w:pPr>
            <w:proofErr w:type="spellStart"/>
            <w:r w:rsidRPr="004139CC">
              <w:rPr>
                <w:bCs/>
              </w:rPr>
              <w:t>Подання</w:t>
            </w:r>
            <w:proofErr w:type="spellEnd"/>
            <w:r w:rsidRPr="004139CC">
              <w:rPr>
                <w:bCs/>
              </w:rPr>
              <w:t xml:space="preserve"> </w:t>
            </w:r>
            <w:proofErr w:type="spellStart"/>
            <w:r w:rsidRPr="004139CC">
              <w:rPr>
                <w:bCs/>
              </w:rPr>
              <w:t>фінансової</w:t>
            </w:r>
            <w:proofErr w:type="spellEnd"/>
            <w:r w:rsidRPr="004139CC">
              <w:rPr>
                <w:bCs/>
              </w:rPr>
              <w:t xml:space="preserve"> </w:t>
            </w:r>
            <w:proofErr w:type="spellStart"/>
            <w:r w:rsidRPr="004139CC">
              <w:rPr>
                <w:bCs/>
              </w:rPr>
              <w:t>звітності</w:t>
            </w:r>
            <w:proofErr w:type="spellEnd"/>
          </w:p>
        </w:tc>
      </w:tr>
      <w:tr w:rsidR="004139CC" w:rsidRPr="00672B4B" w:rsidTr="00DB1343">
        <w:tc>
          <w:tcPr>
            <w:tcW w:w="1413" w:type="dxa"/>
            <w:vAlign w:val="center"/>
          </w:tcPr>
          <w:p w:rsidR="004139CC" w:rsidRPr="00672B4B" w:rsidRDefault="004139CC" w:rsidP="009B2B9B">
            <w:pPr>
              <w:widowControl w:val="0"/>
              <w:jc w:val="both"/>
              <w:rPr>
                <w:rFonts w:ascii="Times New Roman" w:hAnsi="Times New Roman" w:cs="Times New Roman"/>
                <w:b/>
                <w:sz w:val="24"/>
                <w:szCs w:val="24"/>
              </w:rPr>
            </w:pPr>
            <w:r w:rsidRPr="00672B4B">
              <w:rPr>
                <w:rFonts w:ascii="Times New Roman" w:hAnsi="Times New Roman" w:cs="Times New Roman"/>
                <w:b/>
                <w:sz w:val="24"/>
                <w:szCs w:val="24"/>
              </w:rPr>
              <w:lastRenderedPageBreak/>
              <w:t>Тема 4</w:t>
            </w:r>
          </w:p>
        </w:tc>
        <w:tc>
          <w:tcPr>
            <w:tcW w:w="8216" w:type="dxa"/>
          </w:tcPr>
          <w:p w:rsidR="004139CC" w:rsidRPr="004139CC" w:rsidRDefault="004139CC" w:rsidP="007E2A31">
            <w:pPr>
              <w:pStyle w:val="Default"/>
              <w:jc w:val="both"/>
              <w:rPr>
                <w:lang w:val="uk-UA"/>
              </w:rPr>
            </w:pPr>
            <w:r w:rsidRPr="004139CC">
              <w:rPr>
                <w:bCs/>
                <w:lang w:val="uk-UA"/>
              </w:rPr>
              <w:t>Облік довгострокових активів за МС</w:t>
            </w:r>
            <w:r w:rsidR="007E2A31">
              <w:rPr>
                <w:bCs/>
                <w:lang w:val="uk-UA"/>
              </w:rPr>
              <w:t>ФЗ</w:t>
            </w:r>
          </w:p>
        </w:tc>
      </w:tr>
      <w:tr w:rsidR="004139CC" w:rsidRPr="00672B4B" w:rsidTr="00DB1343">
        <w:tc>
          <w:tcPr>
            <w:tcW w:w="1413" w:type="dxa"/>
            <w:vAlign w:val="center"/>
          </w:tcPr>
          <w:p w:rsidR="004139CC" w:rsidRPr="00672B4B" w:rsidRDefault="004139CC" w:rsidP="009B2B9B">
            <w:pPr>
              <w:widowControl w:val="0"/>
              <w:jc w:val="both"/>
              <w:rPr>
                <w:rFonts w:ascii="Times New Roman" w:hAnsi="Times New Roman" w:cs="Times New Roman"/>
                <w:b/>
                <w:sz w:val="24"/>
                <w:szCs w:val="24"/>
              </w:rPr>
            </w:pPr>
            <w:r w:rsidRPr="00672B4B">
              <w:rPr>
                <w:rFonts w:ascii="Times New Roman" w:hAnsi="Times New Roman" w:cs="Times New Roman"/>
                <w:b/>
                <w:sz w:val="24"/>
                <w:szCs w:val="24"/>
              </w:rPr>
              <w:t>Тема 5</w:t>
            </w:r>
          </w:p>
        </w:tc>
        <w:tc>
          <w:tcPr>
            <w:tcW w:w="8216" w:type="dxa"/>
          </w:tcPr>
          <w:p w:rsidR="004139CC" w:rsidRPr="004139CC" w:rsidRDefault="004139CC" w:rsidP="007E2A31">
            <w:pPr>
              <w:pStyle w:val="Default"/>
              <w:jc w:val="both"/>
              <w:rPr>
                <w:b/>
                <w:bCs/>
                <w:lang w:val="uk-UA"/>
              </w:rPr>
            </w:pPr>
            <w:r w:rsidRPr="004139CC">
              <w:rPr>
                <w:bCs/>
                <w:lang w:val="uk-UA"/>
              </w:rPr>
              <w:t>Облік поточних активів за МС</w:t>
            </w:r>
            <w:r w:rsidR="007E2A31">
              <w:rPr>
                <w:bCs/>
                <w:lang w:val="uk-UA"/>
              </w:rPr>
              <w:t>ФЗ</w:t>
            </w:r>
          </w:p>
        </w:tc>
      </w:tr>
      <w:tr w:rsidR="002E5CD8" w:rsidRPr="00672B4B" w:rsidTr="00BA3E8D">
        <w:tc>
          <w:tcPr>
            <w:tcW w:w="9629" w:type="dxa"/>
            <w:gridSpan w:val="2"/>
            <w:vAlign w:val="center"/>
          </w:tcPr>
          <w:p w:rsidR="002E5CD8" w:rsidRPr="00672B4B" w:rsidRDefault="002E5CD8" w:rsidP="002E5CD8">
            <w:pPr>
              <w:widowControl w:val="0"/>
              <w:jc w:val="center"/>
              <w:rPr>
                <w:rFonts w:ascii="Times New Roman" w:hAnsi="Times New Roman" w:cs="Times New Roman"/>
                <w:b/>
                <w:caps/>
                <w:sz w:val="24"/>
                <w:szCs w:val="24"/>
              </w:rPr>
            </w:pPr>
            <w:r w:rsidRPr="00672B4B">
              <w:rPr>
                <w:rFonts w:ascii="Times New Roman" w:hAnsi="Times New Roman" w:cs="Times New Roman"/>
                <w:b/>
                <w:caps/>
                <w:sz w:val="24"/>
                <w:szCs w:val="24"/>
              </w:rPr>
              <w:t>Модуль 2.</w:t>
            </w:r>
            <w:r w:rsidR="001063FA" w:rsidRPr="00672B4B">
              <w:rPr>
                <w:rFonts w:ascii="Times New Roman" w:hAnsi="Times New Roman" w:cs="Times New Roman"/>
                <w:b/>
                <w:caps/>
                <w:sz w:val="24"/>
                <w:szCs w:val="24"/>
              </w:rPr>
              <w:t xml:space="preserve"> </w:t>
            </w:r>
            <w:r w:rsidR="004139CC" w:rsidRPr="004139CC">
              <w:rPr>
                <w:rFonts w:ascii="Times New Roman" w:hAnsi="Times New Roman" w:cs="Times New Roman"/>
                <w:b/>
                <w:bCs/>
                <w:sz w:val="24"/>
                <w:szCs w:val="24"/>
              </w:rPr>
              <w:t>ПІДГОТОВКА ТА ВИЗНАЧЕННЯ ОСНОВНИХ ЕЛЕМЕНТІВ ФІНАНСОВИХ ЗВІТІВ ЗГІДНО МІЖНАРОДНИХ СТАНДАРТІВ</w:t>
            </w:r>
          </w:p>
        </w:tc>
      </w:tr>
      <w:tr w:rsidR="004139CC" w:rsidRPr="00672B4B" w:rsidTr="00F25023">
        <w:tc>
          <w:tcPr>
            <w:tcW w:w="1413" w:type="dxa"/>
            <w:vAlign w:val="center"/>
          </w:tcPr>
          <w:p w:rsidR="004139CC" w:rsidRPr="00672B4B" w:rsidRDefault="004139CC" w:rsidP="00006802">
            <w:pPr>
              <w:widowControl w:val="0"/>
              <w:jc w:val="both"/>
              <w:rPr>
                <w:rFonts w:ascii="Times New Roman" w:hAnsi="Times New Roman" w:cs="Times New Roman"/>
                <w:b/>
                <w:sz w:val="24"/>
                <w:szCs w:val="24"/>
              </w:rPr>
            </w:pPr>
            <w:r w:rsidRPr="00672B4B">
              <w:rPr>
                <w:rFonts w:ascii="Times New Roman" w:hAnsi="Times New Roman" w:cs="Times New Roman"/>
                <w:b/>
                <w:sz w:val="24"/>
                <w:szCs w:val="24"/>
              </w:rPr>
              <w:t>Тема 6</w:t>
            </w:r>
          </w:p>
        </w:tc>
        <w:tc>
          <w:tcPr>
            <w:tcW w:w="8216" w:type="dxa"/>
          </w:tcPr>
          <w:p w:rsidR="004139CC" w:rsidRPr="004139CC" w:rsidRDefault="004139CC" w:rsidP="00006802">
            <w:pPr>
              <w:pStyle w:val="Default"/>
              <w:jc w:val="both"/>
              <w:rPr>
                <w:lang w:val="uk-UA"/>
              </w:rPr>
            </w:pPr>
            <w:r w:rsidRPr="004139CC">
              <w:rPr>
                <w:bCs/>
                <w:lang w:val="uk-UA"/>
              </w:rPr>
              <w:t>Забезпечення, непередбачені зобов’язання і активи, виплати працівникам та програми пенсійного забезпечення</w:t>
            </w:r>
          </w:p>
        </w:tc>
      </w:tr>
      <w:tr w:rsidR="004139CC" w:rsidRPr="00672B4B" w:rsidTr="00F25023">
        <w:tc>
          <w:tcPr>
            <w:tcW w:w="1413" w:type="dxa"/>
            <w:vAlign w:val="center"/>
          </w:tcPr>
          <w:p w:rsidR="004139CC" w:rsidRPr="00672B4B" w:rsidRDefault="004139CC" w:rsidP="009B2B9B">
            <w:pPr>
              <w:widowControl w:val="0"/>
              <w:jc w:val="both"/>
              <w:rPr>
                <w:rFonts w:ascii="Times New Roman" w:hAnsi="Times New Roman" w:cs="Times New Roman"/>
                <w:b/>
                <w:sz w:val="24"/>
                <w:szCs w:val="24"/>
              </w:rPr>
            </w:pPr>
            <w:r w:rsidRPr="00672B4B">
              <w:rPr>
                <w:rFonts w:ascii="Times New Roman" w:hAnsi="Times New Roman" w:cs="Times New Roman"/>
                <w:b/>
                <w:sz w:val="24"/>
                <w:szCs w:val="24"/>
              </w:rPr>
              <w:t>Тема 7</w:t>
            </w:r>
          </w:p>
        </w:tc>
        <w:tc>
          <w:tcPr>
            <w:tcW w:w="8216" w:type="dxa"/>
          </w:tcPr>
          <w:p w:rsidR="004139CC" w:rsidRPr="004139CC" w:rsidRDefault="004139CC" w:rsidP="00006802">
            <w:pPr>
              <w:pStyle w:val="Default"/>
            </w:pPr>
            <w:proofErr w:type="spellStart"/>
            <w:r w:rsidRPr="004139CC">
              <w:rPr>
                <w:bCs/>
              </w:rPr>
              <w:t>Фінансові</w:t>
            </w:r>
            <w:proofErr w:type="spellEnd"/>
            <w:r w:rsidRPr="004139CC">
              <w:rPr>
                <w:bCs/>
              </w:rPr>
              <w:t xml:space="preserve"> </w:t>
            </w:r>
            <w:proofErr w:type="spellStart"/>
            <w:r w:rsidRPr="004139CC">
              <w:rPr>
                <w:bCs/>
              </w:rPr>
              <w:t>інструменти</w:t>
            </w:r>
            <w:proofErr w:type="spellEnd"/>
            <w:r w:rsidRPr="004139CC">
              <w:rPr>
                <w:bCs/>
              </w:rPr>
              <w:t xml:space="preserve"> та </w:t>
            </w:r>
            <w:proofErr w:type="spellStart"/>
            <w:r w:rsidRPr="004139CC">
              <w:rPr>
                <w:bCs/>
              </w:rPr>
              <w:t>платіж</w:t>
            </w:r>
            <w:proofErr w:type="spellEnd"/>
            <w:r w:rsidRPr="004139CC">
              <w:rPr>
                <w:bCs/>
              </w:rPr>
              <w:t xml:space="preserve"> </w:t>
            </w:r>
            <w:proofErr w:type="gramStart"/>
            <w:r w:rsidRPr="004139CC">
              <w:rPr>
                <w:bCs/>
              </w:rPr>
              <w:t>на</w:t>
            </w:r>
            <w:proofErr w:type="gramEnd"/>
            <w:r w:rsidRPr="004139CC">
              <w:rPr>
                <w:bCs/>
              </w:rPr>
              <w:t xml:space="preserve"> </w:t>
            </w:r>
            <w:proofErr w:type="spellStart"/>
            <w:r w:rsidRPr="004139CC">
              <w:rPr>
                <w:bCs/>
              </w:rPr>
              <w:t>основі</w:t>
            </w:r>
            <w:proofErr w:type="spellEnd"/>
            <w:r w:rsidRPr="004139CC">
              <w:rPr>
                <w:bCs/>
              </w:rPr>
              <w:t xml:space="preserve"> </w:t>
            </w:r>
            <w:proofErr w:type="spellStart"/>
            <w:r w:rsidRPr="004139CC">
              <w:rPr>
                <w:bCs/>
              </w:rPr>
              <w:t>акцій</w:t>
            </w:r>
            <w:proofErr w:type="spellEnd"/>
          </w:p>
        </w:tc>
      </w:tr>
      <w:tr w:rsidR="004139CC" w:rsidRPr="00672B4B" w:rsidTr="00F25023">
        <w:tc>
          <w:tcPr>
            <w:tcW w:w="1413" w:type="dxa"/>
            <w:vAlign w:val="center"/>
          </w:tcPr>
          <w:p w:rsidR="004139CC" w:rsidRPr="00672B4B" w:rsidRDefault="004139CC" w:rsidP="009B2B9B">
            <w:pPr>
              <w:widowControl w:val="0"/>
              <w:jc w:val="both"/>
              <w:rPr>
                <w:rFonts w:ascii="Times New Roman" w:hAnsi="Times New Roman" w:cs="Times New Roman"/>
                <w:b/>
                <w:sz w:val="24"/>
                <w:szCs w:val="24"/>
              </w:rPr>
            </w:pPr>
            <w:r w:rsidRPr="00672B4B">
              <w:rPr>
                <w:rFonts w:ascii="Times New Roman" w:hAnsi="Times New Roman" w:cs="Times New Roman"/>
                <w:b/>
                <w:sz w:val="24"/>
                <w:szCs w:val="24"/>
              </w:rPr>
              <w:t>Тема 8</w:t>
            </w:r>
          </w:p>
        </w:tc>
        <w:tc>
          <w:tcPr>
            <w:tcW w:w="8216" w:type="dxa"/>
          </w:tcPr>
          <w:p w:rsidR="004139CC" w:rsidRPr="004139CC" w:rsidRDefault="004139CC" w:rsidP="00006802">
            <w:pPr>
              <w:pStyle w:val="Default"/>
              <w:rPr>
                <w:lang w:val="uk-UA"/>
              </w:rPr>
            </w:pPr>
            <w:r w:rsidRPr="004139CC">
              <w:rPr>
                <w:bCs/>
                <w:lang w:val="uk-UA"/>
              </w:rPr>
              <w:t>Облік д</w:t>
            </w:r>
            <w:proofErr w:type="spellStart"/>
            <w:r w:rsidRPr="004139CC">
              <w:rPr>
                <w:bCs/>
              </w:rPr>
              <w:t>оход</w:t>
            </w:r>
            <w:r w:rsidRPr="004139CC">
              <w:rPr>
                <w:bCs/>
                <w:lang w:val="uk-UA"/>
              </w:rPr>
              <w:t>ів</w:t>
            </w:r>
            <w:proofErr w:type="spellEnd"/>
            <w:r w:rsidRPr="004139CC">
              <w:rPr>
                <w:bCs/>
              </w:rPr>
              <w:t xml:space="preserve">, </w:t>
            </w:r>
            <w:proofErr w:type="spellStart"/>
            <w:r w:rsidRPr="004139CC">
              <w:rPr>
                <w:bCs/>
              </w:rPr>
              <w:t>витрат</w:t>
            </w:r>
            <w:proofErr w:type="spellEnd"/>
            <w:r w:rsidRPr="004139CC">
              <w:rPr>
                <w:bCs/>
              </w:rPr>
              <w:t xml:space="preserve"> і </w:t>
            </w:r>
            <w:proofErr w:type="spellStart"/>
            <w:r w:rsidRPr="004139CC">
              <w:rPr>
                <w:bCs/>
              </w:rPr>
              <w:t>податк</w:t>
            </w:r>
            <w:proofErr w:type="spellEnd"/>
            <w:r w:rsidRPr="004139CC">
              <w:rPr>
                <w:bCs/>
                <w:lang w:val="uk-UA"/>
              </w:rPr>
              <w:t>у</w:t>
            </w:r>
            <w:r w:rsidRPr="004139CC">
              <w:rPr>
                <w:bCs/>
              </w:rPr>
              <w:t xml:space="preserve"> на </w:t>
            </w:r>
            <w:proofErr w:type="spellStart"/>
            <w:r w:rsidRPr="004139CC">
              <w:rPr>
                <w:bCs/>
              </w:rPr>
              <w:t>прибуток</w:t>
            </w:r>
            <w:proofErr w:type="spellEnd"/>
          </w:p>
        </w:tc>
      </w:tr>
      <w:tr w:rsidR="004139CC" w:rsidRPr="00672B4B" w:rsidTr="00F25023">
        <w:tc>
          <w:tcPr>
            <w:tcW w:w="1413" w:type="dxa"/>
            <w:vAlign w:val="center"/>
          </w:tcPr>
          <w:p w:rsidR="004139CC" w:rsidRPr="00672B4B" w:rsidRDefault="004139CC" w:rsidP="009B2B9B">
            <w:pPr>
              <w:widowControl w:val="0"/>
              <w:jc w:val="both"/>
              <w:rPr>
                <w:rFonts w:ascii="Times New Roman" w:hAnsi="Times New Roman" w:cs="Times New Roman"/>
                <w:b/>
                <w:sz w:val="24"/>
                <w:szCs w:val="24"/>
              </w:rPr>
            </w:pPr>
            <w:r w:rsidRPr="00672B4B">
              <w:rPr>
                <w:rFonts w:ascii="Times New Roman" w:hAnsi="Times New Roman" w:cs="Times New Roman"/>
                <w:b/>
                <w:sz w:val="24"/>
                <w:szCs w:val="24"/>
              </w:rPr>
              <w:t>Тема 9</w:t>
            </w:r>
          </w:p>
        </w:tc>
        <w:tc>
          <w:tcPr>
            <w:tcW w:w="8216" w:type="dxa"/>
          </w:tcPr>
          <w:p w:rsidR="004139CC" w:rsidRPr="004139CC" w:rsidRDefault="004139CC" w:rsidP="00006802">
            <w:pPr>
              <w:pStyle w:val="Default"/>
              <w:rPr>
                <w:lang w:val="uk-UA"/>
              </w:rPr>
            </w:pPr>
            <w:r w:rsidRPr="004139CC">
              <w:rPr>
                <w:bCs/>
                <w:lang w:val="uk-UA"/>
              </w:rPr>
              <w:t>Зв’язані сторони і консолідована звітність</w:t>
            </w:r>
          </w:p>
        </w:tc>
      </w:tr>
    </w:tbl>
    <w:p w:rsidR="009B2B9B" w:rsidRDefault="009B2B9B" w:rsidP="009B2B9B">
      <w:pPr>
        <w:widowControl w:val="0"/>
        <w:spacing w:after="0" w:line="240" w:lineRule="auto"/>
        <w:jc w:val="both"/>
        <w:rPr>
          <w:rFonts w:ascii="Times New Roman" w:hAnsi="Times New Roman" w:cs="Times New Roman"/>
          <w:sz w:val="28"/>
          <w:szCs w:val="28"/>
        </w:rPr>
      </w:pPr>
    </w:p>
    <w:p w:rsidR="009B2B9B" w:rsidRPr="002E5CD8" w:rsidRDefault="002E5CD8" w:rsidP="002E5CD8">
      <w:pPr>
        <w:widowControl w:val="0"/>
        <w:spacing w:after="0" w:line="240" w:lineRule="auto"/>
        <w:jc w:val="center"/>
        <w:rPr>
          <w:rFonts w:ascii="Times New Roman" w:hAnsi="Times New Roman" w:cs="Times New Roman"/>
          <w:b/>
          <w:caps/>
          <w:sz w:val="28"/>
          <w:szCs w:val="28"/>
        </w:rPr>
      </w:pPr>
      <w:r w:rsidRPr="002E5CD8">
        <w:rPr>
          <w:rFonts w:ascii="Times New Roman" w:hAnsi="Times New Roman" w:cs="Times New Roman"/>
          <w:b/>
          <w:caps/>
          <w:sz w:val="28"/>
          <w:szCs w:val="28"/>
        </w:rPr>
        <w:t>Освітні технології, форми та методи навчання</w:t>
      </w:r>
    </w:p>
    <w:p w:rsidR="009B2B9B" w:rsidRDefault="00672B4B" w:rsidP="00672B4B">
      <w:pPr>
        <w:widowControl w:val="0"/>
        <w:spacing w:after="0" w:line="240" w:lineRule="auto"/>
        <w:ind w:firstLine="567"/>
        <w:jc w:val="both"/>
        <w:rPr>
          <w:rFonts w:ascii="Times New Roman" w:hAnsi="Times New Roman" w:cs="Times New Roman"/>
          <w:sz w:val="28"/>
          <w:szCs w:val="28"/>
        </w:rPr>
      </w:pPr>
      <w:r w:rsidRPr="00C407FA">
        <w:rPr>
          <w:rFonts w:ascii="Times New Roman" w:hAnsi="Times New Roman" w:cs="Times New Roman"/>
          <w:sz w:val="28"/>
          <w:szCs w:val="28"/>
        </w:rPr>
        <w:t>У процесі вивчення навчальної дисципліни використовуються освітні технології інтенсифікації навчання на основі опорних схем і моде</w:t>
      </w:r>
      <w:r w:rsidR="004139CC">
        <w:rPr>
          <w:rFonts w:ascii="Times New Roman" w:hAnsi="Times New Roman" w:cs="Times New Roman"/>
          <w:sz w:val="28"/>
          <w:szCs w:val="28"/>
        </w:rPr>
        <w:t xml:space="preserve">лей, </w:t>
      </w:r>
      <w:proofErr w:type="spellStart"/>
      <w:r w:rsidR="004139CC">
        <w:rPr>
          <w:rFonts w:ascii="Times New Roman" w:hAnsi="Times New Roman" w:cs="Times New Roman"/>
          <w:sz w:val="28"/>
          <w:szCs w:val="28"/>
        </w:rPr>
        <w:t>модульно</w:t>
      </w:r>
      <w:proofErr w:type="spellEnd"/>
      <w:r w:rsidR="004139CC">
        <w:rPr>
          <w:rFonts w:ascii="Times New Roman" w:hAnsi="Times New Roman" w:cs="Times New Roman"/>
          <w:sz w:val="28"/>
          <w:szCs w:val="28"/>
        </w:rPr>
        <w:t>-блочного навчання</w:t>
      </w:r>
      <w:r w:rsidRPr="00C407FA">
        <w:rPr>
          <w:rFonts w:ascii="Times New Roman" w:hAnsi="Times New Roman" w:cs="Times New Roman"/>
          <w:sz w:val="28"/>
          <w:szCs w:val="28"/>
        </w:rPr>
        <w:t>;</w:t>
      </w:r>
      <w:r>
        <w:rPr>
          <w:rFonts w:ascii="Times New Roman" w:hAnsi="Times New Roman" w:cs="Times New Roman"/>
          <w:sz w:val="28"/>
          <w:szCs w:val="28"/>
        </w:rPr>
        <w:t xml:space="preserve"> </w:t>
      </w:r>
      <w:r w:rsidRPr="00930F2C">
        <w:rPr>
          <w:rFonts w:ascii="Times New Roman" w:hAnsi="Times New Roman" w:cs="Times New Roman"/>
          <w:sz w:val="28"/>
          <w:szCs w:val="28"/>
        </w:rPr>
        <w:t>вербальні методи (лекція, бесіда, пояснення, розповідь та інші);</w:t>
      </w:r>
      <w:r>
        <w:rPr>
          <w:rFonts w:ascii="Times New Roman" w:hAnsi="Times New Roman" w:cs="Times New Roman"/>
          <w:sz w:val="28"/>
          <w:szCs w:val="28"/>
        </w:rPr>
        <w:t xml:space="preserve"> </w:t>
      </w:r>
      <w:r w:rsidR="004139CC" w:rsidRPr="004139CC">
        <w:rPr>
          <w:rFonts w:ascii="Times New Roman" w:hAnsi="Times New Roman" w:cs="Times New Roman"/>
          <w:sz w:val="28"/>
          <w:szCs w:val="28"/>
        </w:rPr>
        <w:t>практичні методи (семінари, практичні та ситуаційні завдання)</w:t>
      </w:r>
      <w:r w:rsidRPr="004139CC">
        <w:rPr>
          <w:rFonts w:ascii="Times New Roman" w:hAnsi="Times New Roman" w:cs="Times New Roman"/>
          <w:sz w:val="28"/>
          <w:szCs w:val="28"/>
        </w:rPr>
        <w:t>;</w:t>
      </w:r>
      <w:r>
        <w:rPr>
          <w:rFonts w:ascii="Times New Roman" w:hAnsi="Times New Roman" w:cs="Times New Roman"/>
          <w:sz w:val="28"/>
          <w:szCs w:val="28"/>
        </w:rPr>
        <w:t xml:space="preserve"> </w:t>
      </w:r>
      <w:r w:rsidRPr="00930F2C">
        <w:rPr>
          <w:rFonts w:ascii="Times New Roman" w:hAnsi="Times New Roman" w:cs="Times New Roman"/>
          <w:sz w:val="28"/>
          <w:szCs w:val="28"/>
        </w:rPr>
        <w:t xml:space="preserve"> наочні методи (презентація, демонстрація, ілюстрація);</w:t>
      </w:r>
      <w:r>
        <w:rPr>
          <w:rFonts w:ascii="Times New Roman" w:hAnsi="Times New Roman" w:cs="Times New Roman"/>
          <w:sz w:val="28"/>
          <w:szCs w:val="28"/>
        </w:rPr>
        <w:t xml:space="preserve"> </w:t>
      </w:r>
      <w:r w:rsidRPr="00930F2C">
        <w:rPr>
          <w:rFonts w:ascii="Times New Roman" w:hAnsi="Times New Roman" w:cs="Times New Roman"/>
          <w:sz w:val="28"/>
          <w:szCs w:val="28"/>
        </w:rPr>
        <w:t>проблемно-пошукові методи;</w:t>
      </w:r>
      <w:r>
        <w:rPr>
          <w:rFonts w:ascii="Times New Roman" w:hAnsi="Times New Roman" w:cs="Times New Roman"/>
          <w:sz w:val="28"/>
          <w:szCs w:val="28"/>
        </w:rPr>
        <w:t xml:space="preserve"> </w:t>
      </w:r>
      <w:r w:rsidRPr="00930F2C">
        <w:rPr>
          <w:rFonts w:ascii="Times New Roman" w:hAnsi="Times New Roman" w:cs="Times New Roman"/>
          <w:sz w:val="28"/>
          <w:szCs w:val="28"/>
        </w:rPr>
        <w:t>робота з інформаційними ресурсами (нормативними джерелами, навчально-методичною та науковою літературою, інтернет-ресурсами);</w:t>
      </w:r>
      <w:r>
        <w:rPr>
          <w:rFonts w:ascii="Times New Roman" w:hAnsi="Times New Roman" w:cs="Times New Roman"/>
          <w:sz w:val="28"/>
          <w:szCs w:val="28"/>
        </w:rPr>
        <w:t xml:space="preserve"> </w:t>
      </w:r>
      <w:r w:rsidR="004139CC" w:rsidRPr="004139CC">
        <w:rPr>
          <w:rFonts w:ascii="Times New Roman" w:hAnsi="Times New Roman" w:cs="Times New Roman"/>
          <w:sz w:val="28"/>
          <w:szCs w:val="28"/>
        </w:rPr>
        <w:t>самостійна робота над індивідуальним завданням за програмою навчальної дисципліни</w:t>
      </w:r>
      <w:r w:rsidRPr="004139CC">
        <w:rPr>
          <w:rFonts w:ascii="Times New Roman" w:hAnsi="Times New Roman" w:cs="Times New Roman"/>
          <w:sz w:val="28"/>
          <w:szCs w:val="28"/>
        </w:rPr>
        <w:t>;</w:t>
      </w:r>
      <w:r>
        <w:rPr>
          <w:rFonts w:ascii="Times New Roman" w:hAnsi="Times New Roman" w:cs="Times New Roman"/>
          <w:sz w:val="28"/>
          <w:szCs w:val="28"/>
        </w:rPr>
        <w:t xml:space="preserve"> </w:t>
      </w:r>
      <w:r w:rsidRPr="00930F2C">
        <w:rPr>
          <w:rFonts w:ascii="Times New Roman" w:hAnsi="Times New Roman" w:cs="Times New Roman"/>
          <w:sz w:val="28"/>
          <w:szCs w:val="28"/>
        </w:rPr>
        <w:t>дистанційне навчання з використанням системи Moodle;</w:t>
      </w:r>
      <w:r>
        <w:rPr>
          <w:rFonts w:ascii="Times New Roman" w:hAnsi="Times New Roman" w:cs="Times New Roman"/>
          <w:sz w:val="28"/>
          <w:szCs w:val="28"/>
        </w:rPr>
        <w:t xml:space="preserve"> </w:t>
      </w:r>
      <w:r w:rsidRPr="00930F2C">
        <w:rPr>
          <w:rFonts w:ascii="Times New Roman" w:hAnsi="Times New Roman" w:cs="Times New Roman"/>
          <w:sz w:val="28"/>
          <w:szCs w:val="28"/>
        </w:rPr>
        <w:t>і</w:t>
      </w:r>
      <w:r w:rsidRPr="00930F2C">
        <w:rPr>
          <w:rFonts w:ascii="Times New Roman" w:eastAsia="Malgun Gothic Semilight" w:hAnsi="Times New Roman" w:cs="Times New Roman"/>
          <w:sz w:val="28"/>
          <w:szCs w:val="28"/>
        </w:rPr>
        <w:t>нш</w:t>
      </w:r>
      <w:r w:rsidRPr="00930F2C">
        <w:rPr>
          <w:rFonts w:ascii="Times New Roman" w:hAnsi="Times New Roman" w:cs="Times New Roman"/>
          <w:sz w:val="28"/>
          <w:szCs w:val="28"/>
        </w:rPr>
        <w:t xml:space="preserve">і </w:t>
      </w:r>
      <w:r w:rsidRPr="00930F2C">
        <w:rPr>
          <w:rFonts w:ascii="Times New Roman" w:eastAsia="Malgun Gothic Semilight" w:hAnsi="Times New Roman" w:cs="Times New Roman"/>
          <w:sz w:val="28"/>
          <w:szCs w:val="28"/>
        </w:rPr>
        <w:t>методи навчання.</w:t>
      </w:r>
    </w:p>
    <w:p w:rsidR="002E5CD8" w:rsidRDefault="002E5CD8" w:rsidP="00E34EE3">
      <w:pPr>
        <w:widowControl w:val="0"/>
        <w:spacing w:after="0" w:line="240" w:lineRule="auto"/>
        <w:jc w:val="both"/>
        <w:rPr>
          <w:rFonts w:ascii="Times New Roman" w:hAnsi="Times New Roman" w:cs="Times New Roman"/>
          <w:sz w:val="28"/>
          <w:szCs w:val="28"/>
        </w:rPr>
      </w:pPr>
    </w:p>
    <w:p w:rsidR="002E5CD8" w:rsidRPr="00F603A2" w:rsidRDefault="002E5CD8" w:rsidP="00F603A2">
      <w:pPr>
        <w:widowControl w:val="0"/>
        <w:spacing w:after="0" w:line="240" w:lineRule="auto"/>
        <w:jc w:val="center"/>
        <w:rPr>
          <w:rFonts w:ascii="Times New Roman" w:hAnsi="Times New Roman" w:cs="Times New Roman"/>
          <w:b/>
          <w:caps/>
          <w:sz w:val="28"/>
          <w:szCs w:val="28"/>
        </w:rPr>
      </w:pPr>
      <w:r w:rsidRPr="00F603A2">
        <w:rPr>
          <w:rFonts w:ascii="Times New Roman" w:hAnsi="Times New Roman" w:cs="Times New Roman"/>
          <w:b/>
          <w:caps/>
          <w:sz w:val="28"/>
          <w:szCs w:val="28"/>
        </w:rPr>
        <w:t>Форми й методи контролю та оцінювання</w:t>
      </w:r>
    </w:p>
    <w:p w:rsidR="00672B4B" w:rsidRDefault="00672B4B" w:rsidP="00672B4B">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Поточний контроль: </w:t>
      </w:r>
      <w:r w:rsidRPr="00171378">
        <w:rPr>
          <w:rFonts w:ascii="Times New Roman" w:eastAsia="Arial Unicode MS" w:hAnsi="Times New Roman" w:cs="Times New Roman"/>
          <w:color w:val="000000"/>
          <w:sz w:val="28"/>
          <w:szCs w:val="28"/>
          <w:lang w:bidi="en-US"/>
        </w:rPr>
        <w:t>фронтальне опитування;</w:t>
      </w:r>
      <w:r>
        <w:rPr>
          <w:rFonts w:ascii="Times New Roman" w:eastAsia="Arial Unicode MS" w:hAnsi="Times New Roman" w:cs="Times New Roman"/>
          <w:color w:val="000000"/>
          <w:sz w:val="28"/>
          <w:szCs w:val="28"/>
          <w:lang w:bidi="en-US"/>
        </w:rPr>
        <w:t xml:space="preserve"> </w:t>
      </w:r>
      <w:r w:rsidRPr="00171378">
        <w:rPr>
          <w:rFonts w:ascii="Times New Roman" w:eastAsia="Arial Unicode MS" w:hAnsi="Times New Roman" w:cs="Times New Roman"/>
          <w:color w:val="000000"/>
          <w:sz w:val="28"/>
          <w:szCs w:val="28"/>
          <w:lang w:bidi="en-US"/>
        </w:rPr>
        <w:t>індивідуальне опитування;</w:t>
      </w:r>
      <w:r>
        <w:rPr>
          <w:rFonts w:ascii="Times New Roman" w:eastAsia="Arial Unicode MS" w:hAnsi="Times New Roman" w:cs="Times New Roman"/>
          <w:color w:val="000000"/>
          <w:sz w:val="28"/>
          <w:szCs w:val="28"/>
          <w:lang w:bidi="en-US"/>
        </w:rPr>
        <w:t xml:space="preserve"> с</w:t>
      </w:r>
      <w:r w:rsidRPr="00171378">
        <w:rPr>
          <w:rFonts w:ascii="Times New Roman" w:eastAsia="Malgun Gothic Semilight" w:hAnsi="Times New Roman" w:cs="Times New Roman"/>
          <w:color w:val="000000"/>
          <w:sz w:val="28"/>
          <w:szCs w:val="28"/>
          <w:lang w:bidi="en-US"/>
        </w:rPr>
        <w:t>тандартизован</w:t>
      </w:r>
      <w:r w:rsidRPr="00171378">
        <w:rPr>
          <w:rFonts w:ascii="Times New Roman" w:eastAsia="Arial Unicode MS" w:hAnsi="Times New Roman" w:cs="Times New Roman"/>
          <w:color w:val="000000"/>
          <w:sz w:val="28"/>
          <w:szCs w:val="28"/>
          <w:lang w:bidi="en-US"/>
        </w:rPr>
        <w:t xml:space="preserve">і </w:t>
      </w:r>
      <w:r w:rsidRPr="00171378">
        <w:rPr>
          <w:rFonts w:ascii="Times New Roman" w:eastAsia="Malgun Gothic Semilight" w:hAnsi="Times New Roman" w:cs="Times New Roman"/>
          <w:color w:val="000000"/>
          <w:sz w:val="28"/>
          <w:szCs w:val="28"/>
          <w:lang w:bidi="en-US"/>
        </w:rPr>
        <w:t>тести</w:t>
      </w:r>
      <w:r w:rsidRPr="00171378">
        <w:rPr>
          <w:rFonts w:ascii="Times New Roman" w:eastAsia="Arial Unicode MS" w:hAnsi="Times New Roman" w:cs="Times New Roman"/>
          <w:color w:val="000000"/>
          <w:sz w:val="28"/>
          <w:szCs w:val="28"/>
          <w:lang w:bidi="en-US"/>
        </w:rPr>
        <w:t>; розв’язування практичних ситуацій;</w:t>
      </w:r>
      <w:r>
        <w:rPr>
          <w:rFonts w:ascii="Times New Roman" w:eastAsia="Arial Unicode MS" w:hAnsi="Times New Roman" w:cs="Times New Roman"/>
          <w:color w:val="000000"/>
          <w:sz w:val="28"/>
          <w:szCs w:val="28"/>
          <w:lang w:bidi="en-US"/>
        </w:rPr>
        <w:t xml:space="preserve"> </w:t>
      </w:r>
      <w:r w:rsidRPr="00171378">
        <w:rPr>
          <w:rFonts w:ascii="Times New Roman" w:eastAsia="Arial Unicode MS" w:hAnsi="Times New Roman" w:cs="Times New Roman"/>
          <w:color w:val="000000"/>
          <w:sz w:val="28"/>
          <w:szCs w:val="28"/>
          <w:lang w:bidi="en-US"/>
        </w:rPr>
        <w:t>тематичні контрольні роботи;</w:t>
      </w:r>
      <w:r>
        <w:rPr>
          <w:rFonts w:ascii="Times New Roman" w:eastAsia="Arial Unicode MS" w:hAnsi="Times New Roman" w:cs="Times New Roman"/>
          <w:color w:val="000000"/>
          <w:sz w:val="28"/>
          <w:szCs w:val="28"/>
          <w:lang w:bidi="en-US"/>
        </w:rPr>
        <w:t xml:space="preserve"> </w:t>
      </w:r>
      <w:r w:rsidRPr="00171378">
        <w:rPr>
          <w:rFonts w:ascii="Times New Roman" w:eastAsia="Arial Unicode MS" w:hAnsi="Times New Roman" w:cs="Times New Roman"/>
          <w:color w:val="000000"/>
          <w:sz w:val="28"/>
          <w:szCs w:val="28"/>
          <w:lang w:bidi="en-US"/>
        </w:rPr>
        <w:t>презентація результатів виконання індивідуальних та командних завдань (наукових, розрахункових, аналітичних та інших);</w:t>
      </w:r>
      <w:r>
        <w:rPr>
          <w:rFonts w:ascii="Times New Roman" w:eastAsia="Arial Unicode MS" w:hAnsi="Times New Roman" w:cs="Times New Roman"/>
          <w:color w:val="000000"/>
          <w:sz w:val="28"/>
          <w:szCs w:val="28"/>
          <w:lang w:bidi="en-US"/>
        </w:rPr>
        <w:t xml:space="preserve"> </w:t>
      </w:r>
      <w:r w:rsidRPr="00171378">
        <w:rPr>
          <w:rFonts w:ascii="Times New Roman" w:eastAsia="Arial Unicode MS" w:hAnsi="Times New Roman" w:cs="Times New Roman"/>
          <w:color w:val="000000"/>
          <w:sz w:val="28"/>
          <w:szCs w:val="28"/>
          <w:lang w:bidi="en-US"/>
        </w:rPr>
        <w:t xml:space="preserve">виступи та </w:t>
      </w:r>
      <w:r w:rsidRPr="00171378">
        <w:rPr>
          <w:rFonts w:ascii="Times New Roman" w:eastAsia="Malgun Gothic Semilight" w:hAnsi="Times New Roman" w:cs="Times New Roman"/>
          <w:color w:val="000000"/>
          <w:sz w:val="28"/>
          <w:szCs w:val="28"/>
          <w:lang w:bidi="en-US"/>
        </w:rPr>
        <w:t>презентац</w:t>
      </w:r>
      <w:r w:rsidRPr="00171378">
        <w:rPr>
          <w:rFonts w:ascii="Times New Roman" w:eastAsia="Arial Unicode MS" w:hAnsi="Times New Roman" w:cs="Times New Roman"/>
          <w:color w:val="000000"/>
          <w:sz w:val="28"/>
          <w:szCs w:val="28"/>
          <w:lang w:bidi="en-US"/>
        </w:rPr>
        <w:t xml:space="preserve">ії здобувачів </w:t>
      </w:r>
      <w:r w:rsidRPr="00171378">
        <w:rPr>
          <w:rFonts w:ascii="Times New Roman" w:eastAsia="Malgun Gothic Semilight" w:hAnsi="Times New Roman" w:cs="Times New Roman"/>
          <w:color w:val="000000"/>
          <w:sz w:val="28"/>
          <w:szCs w:val="28"/>
          <w:lang w:bidi="en-US"/>
        </w:rPr>
        <w:t>на</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науково-практичних</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заходах</w:t>
      </w:r>
      <w:r w:rsidRPr="00171378">
        <w:rPr>
          <w:rFonts w:ascii="Times New Roman" w:eastAsia="Arial Unicode MS" w:hAnsi="Times New Roman" w:cs="Times New Roman"/>
          <w:color w:val="000000"/>
          <w:sz w:val="28"/>
          <w:szCs w:val="28"/>
          <w:lang w:bidi="en-US"/>
        </w:rPr>
        <w:t>; і</w:t>
      </w:r>
      <w:r w:rsidRPr="00171378">
        <w:rPr>
          <w:rFonts w:ascii="Times New Roman" w:eastAsia="Malgun Gothic Semilight" w:hAnsi="Times New Roman" w:cs="Times New Roman"/>
          <w:color w:val="000000"/>
          <w:sz w:val="28"/>
          <w:szCs w:val="28"/>
          <w:lang w:bidi="en-US"/>
        </w:rPr>
        <w:t>нш</w:t>
      </w:r>
      <w:r w:rsidRPr="00171378">
        <w:rPr>
          <w:rFonts w:ascii="Times New Roman" w:eastAsia="Arial Unicode MS" w:hAnsi="Times New Roman" w:cs="Times New Roman"/>
          <w:color w:val="000000"/>
          <w:sz w:val="28"/>
          <w:szCs w:val="28"/>
          <w:lang w:bidi="en-US"/>
        </w:rPr>
        <w:t xml:space="preserve">і </w:t>
      </w:r>
      <w:r w:rsidRPr="00171378">
        <w:rPr>
          <w:rFonts w:ascii="Times New Roman" w:eastAsia="Malgun Gothic Semilight" w:hAnsi="Times New Roman" w:cs="Times New Roman"/>
          <w:color w:val="000000"/>
          <w:sz w:val="28"/>
          <w:szCs w:val="28"/>
          <w:lang w:bidi="en-US"/>
        </w:rPr>
        <w:t>види</w:t>
      </w:r>
      <w:r w:rsidRPr="00171378">
        <w:rPr>
          <w:rFonts w:ascii="Times New Roman" w:eastAsia="Arial Unicode MS" w:hAnsi="Times New Roman" w:cs="Times New Roman"/>
          <w:color w:val="000000"/>
          <w:sz w:val="28"/>
          <w:szCs w:val="28"/>
          <w:lang w:bidi="en-US"/>
        </w:rPr>
        <w:t xml:space="preserve"> і</w:t>
      </w:r>
      <w:r w:rsidRPr="00171378">
        <w:rPr>
          <w:rFonts w:ascii="Times New Roman" w:eastAsia="Malgun Gothic Semilight" w:hAnsi="Times New Roman" w:cs="Times New Roman"/>
          <w:color w:val="000000"/>
          <w:sz w:val="28"/>
          <w:szCs w:val="28"/>
          <w:lang w:bidi="en-US"/>
        </w:rPr>
        <w:t>ндив</w:t>
      </w:r>
      <w:r w:rsidRPr="00171378">
        <w:rPr>
          <w:rFonts w:ascii="Times New Roman" w:eastAsia="Arial Unicode MS" w:hAnsi="Times New Roman" w:cs="Times New Roman"/>
          <w:color w:val="000000"/>
          <w:sz w:val="28"/>
          <w:szCs w:val="28"/>
          <w:lang w:bidi="en-US"/>
        </w:rPr>
        <w:t>і</w:t>
      </w:r>
      <w:r w:rsidRPr="00171378">
        <w:rPr>
          <w:rFonts w:ascii="Times New Roman" w:eastAsia="Malgun Gothic Semilight" w:hAnsi="Times New Roman" w:cs="Times New Roman"/>
          <w:color w:val="000000"/>
          <w:sz w:val="28"/>
          <w:szCs w:val="28"/>
          <w:lang w:bidi="en-US"/>
        </w:rPr>
        <w:t>дуальних</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та</w:t>
      </w:r>
      <w:r>
        <w:rPr>
          <w:rFonts w:ascii="Times New Roman" w:eastAsia="Arial Unicode MS" w:hAnsi="Times New Roman" w:cs="Times New Roman"/>
          <w:color w:val="000000"/>
          <w:sz w:val="28"/>
          <w:szCs w:val="28"/>
          <w:lang w:bidi="en-US"/>
        </w:rPr>
        <w:t xml:space="preserve"> групових завдань.</w:t>
      </w:r>
    </w:p>
    <w:p w:rsidR="002E5CD8" w:rsidRDefault="00672B4B" w:rsidP="00672B4B">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Підсумковий контроль: </w:t>
      </w:r>
      <w:r w:rsidR="00874AB2">
        <w:rPr>
          <w:rFonts w:ascii="Times New Roman" w:hAnsi="Times New Roman" w:cs="Times New Roman"/>
          <w:sz w:val="28"/>
          <w:szCs w:val="28"/>
        </w:rPr>
        <w:t>залік</w:t>
      </w:r>
      <w:r>
        <w:rPr>
          <w:rFonts w:ascii="Times New Roman" w:hAnsi="Times New Roman" w:cs="Times New Roman"/>
          <w:sz w:val="28"/>
          <w:szCs w:val="28"/>
        </w:rPr>
        <w:t>.</w:t>
      </w:r>
    </w:p>
    <w:p w:rsidR="002E5CD8" w:rsidRDefault="002E5CD8" w:rsidP="00E34EE3">
      <w:pPr>
        <w:widowControl w:val="0"/>
        <w:spacing w:after="0" w:line="240" w:lineRule="auto"/>
        <w:jc w:val="both"/>
        <w:rPr>
          <w:rFonts w:ascii="Times New Roman" w:hAnsi="Times New Roman" w:cs="Times New Roman"/>
          <w:sz w:val="28"/>
          <w:szCs w:val="28"/>
        </w:rPr>
      </w:pPr>
    </w:p>
    <w:p w:rsidR="002E5CD8" w:rsidRPr="00F603A2" w:rsidRDefault="002E5CD8" w:rsidP="00F603A2">
      <w:pPr>
        <w:widowControl w:val="0"/>
        <w:spacing w:after="0" w:line="240" w:lineRule="auto"/>
        <w:jc w:val="center"/>
        <w:rPr>
          <w:rFonts w:ascii="Times New Roman" w:hAnsi="Times New Roman" w:cs="Times New Roman"/>
          <w:b/>
          <w:caps/>
          <w:sz w:val="28"/>
          <w:szCs w:val="28"/>
        </w:rPr>
      </w:pPr>
      <w:r w:rsidRPr="00F603A2">
        <w:rPr>
          <w:rFonts w:ascii="Times New Roman" w:hAnsi="Times New Roman" w:cs="Times New Roman"/>
          <w:b/>
          <w:caps/>
          <w:sz w:val="28"/>
          <w:szCs w:val="28"/>
        </w:rPr>
        <w:t>Критерії оцінювання результатів навчання</w:t>
      </w:r>
    </w:p>
    <w:p w:rsidR="002E5CD8" w:rsidRDefault="002E5CD8" w:rsidP="002E5CD8">
      <w:pPr>
        <w:pStyle w:val="a4"/>
        <w:widowControl w:val="0"/>
        <w:spacing w:before="0" w:beforeAutospacing="0" w:after="0" w:afterAutospacing="0"/>
        <w:ind w:firstLine="567"/>
        <w:jc w:val="both"/>
        <w:rPr>
          <w:rFonts w:eastAsia="+mn-ea"/>
          <w:color w:val="000000"/>
          <w:kern w:val="24"/>
          <w:sz w:val="28"/>
          <w:szCs w:val="28"/>
        </w:rPr>
      </w:pPr>
      <w:r w:rsidRPr="002E5CD8">
        <w:rPr>
          <w:rFonts w:eastAsia="+mn-ea"/>
          <w:color w:val="000000"/>
          <w:kern w:val="24"/>
          <w:sz w:val="28"/>
          <w:szCs w:val="28"/>
        </w:rPr>
        <w:t>Оцінювання програмних результатів навчання здобувачів освіти здійснюється за шкалою європейської кредитно-трансферної системи (</w:t>
      </w:r>
      <w:r w:rsidRPr="002E5CD8">
        <w:rPr>
          <w:color w:val="202124"/>
          <w:sz w:val="28"/>
          <w:szCs w:val="28"/>
          <w:shd w:val="clear" w:color="auto" w:fill="FFFFFF"/>
        </w:rPr>
        <w:t>ECTS</w:t>
      </w:r>
      <w:r w:rsidRPr="002E5CD8">
        <w:rPr>
          <w:rFonts w:eastAsia="+mn-ea"/>
          <w:color w:val="000000"/>
          <w:kern w:val="24"/>
          <w:sz w:val="28"/>
          <w:szCs w:val="28"/>
        </w:rPr>
        <w:t>).</w:t>
      </w:r>
    </w:p>
    <w:p w:rsidR="002E5CD8" w:rsidRPr="002E5CD8" w:rsidRDefault="002E5CD8" w:rsidP="002E5CD8">
      <w:pPr>
        <w:pStyle w:val="a4"/>
        <w:widowControl w:val="0"/>
        <w:spacing w:before="0" w:beforeAutospacing="0" w:after="0" w:afterAutospacing="0"/>
        <w:ind w:firstLine="567"/>
        <w:jc w:val="both"/>
        <w:rPr>
          <w:sz w:val="28"/>
          <w:szCs w:val="28"/>
        </w:rPr>
      </w:pPr>
      <w:r w:rsidRPr="002E5CD8">
        <w:rPr>
          <w:rFonts w:eastAsia="+mn-ea"/>
          <w:color w:val="000000"/>
          <w:kern w:val="24"/>
          <w:sz w:val="28"/>
          <w:szCs w:val="28"/>
        </w:rPr>
        <w:t>Критерієм успішного оцінювання є досягнення здобувачем вищої освіти мінімальних порогових рівнів (балів) за кожним запланованим результатом навчання</w:t>
      </w:r>
    </w:p>
    <w:p w:rsidR="002E5CD8" w:rsidRDefault="002E5CD8" w:rsidP="00E34EE3">
      <w:pPr>
        <w:widowControl w:val="0"/>
        <w:spacing w:after="0" w:line="240" w:lineRule="auto"/>
        <w:jc w:val="both"/>
        <w:rPr>
          <w:rFonts w:ascii="Times New Roman" w:hAnsi="Times New Roman" w:cs="Times New Roman"/>
          <w:sz w:val="28"/>
          <w:szCs w:val="28"/>
        </w:rPr>
      </w:pPr>
    </w:p>
    <w:p w:rsidR="002E5CD8" w:rsidRPr="00F603A2" w:rsidRDefault="00F603A2" w:rsidP="00F603A2">
      <w:pPr>
        <w:widowControl w:val="0"/>
        <w:spacing w:after="0" w:line="240" w:lineRule="auto"/>
        <w:jc w:val="center"/>
        <w:rPr>
          <w:rFonts w:ascii="Times New Roman" w:hAnsi="Times New Roman" w:cs="Times New Roman"/>
          <w:b/>
          <w:caps/>
          <w:sz w:val="28"/>
          <w:szCs w:val="28"/>
        </w:rPr>
      </w:pPr>
      <w:r w:rsidRPr="00F603A2">
        <w:rPr>
          <w:rFonts w:ascii="Times New Roman" w:hAnsi="Times New Roman" w:cs="Times New Roman"/>
          <w:b/>
          <w:caps/>
          <w:sz w:val="28"/>
          <w:szCs w:val="28"/>
        </w:rPr>
        <w:t>Політика щодо академічної доброчесності</w:t>
      </w:r>
    </w:p>
    <w:p w:rsidR="00F603A2" w:rsidRPr="00F603A2" w:rsidRDefault="00F603A2" w:rsidP="00F603A2">
      <w:pPr>
        <w:pStyle w:val="a5"/>
        <w:ind w:left="0" w:firstLine="567"/>
        <w:rPr>
          <w:bCs/>
          <w:color w:val="000000" w:themeColor="text1"/>
          <w:sz w:val="28"/>
          <w:szCs w:val="28"/>
        </w:rPr>
      </w:pPr>
      <w:r w:rsidRPr="00F603A2">
        <w:rPr>
          <w:bCs/>
          <w:color w:val="000000" w:themeColor="text1"/>
          <w:sz w:val="28"/>
          <w:szCs w:val="28"/>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rsidR="00F603A2" w:rsidRPr="00F603A2" w:rsidRDefault="00F603A2" w:rsidP="00F603A2">
      <w:pPr>
        <w:pStyle w:val="a5"/>
        <w:numPr>
          <w:ilvl w:val="0"/>
          <w:numId w:val="2"/>
        </w:numPr>
        <w:tabs>
          <w:tab w:val="left" w:pos="851"/>
        </w:tabs>
        <w:ind w:left="0" w:firstLine="567"/>
        <w:rPr>
          <w:bCs/>
          <w:color w:val="000000" w:themeColor="text1"/>
          <w:sz w:val="28"/>
          <w:szCs w:val="28"/>
        </w:rPr>
      </w:pPr>
      <w:r w:rsidRPr="00F603A2">
        <w:rPr>
          <w:bCs/>
          <w:color w:val="000000" w:themeColor="text1"/>
          <w:sz w:val="28"/>
          <w:szCs w:val="28"/>
        </w:rPr>
        <w:t xml:space="preserve">Етичний кодекс </w:t>
      </w:r>
      <w:r w:rsidRPr="00F603A2">
        <w:rPr>
          <w:bCs/>
          <w:color w:val="000000" w:themeColor="text1"/>
          <w:spacing w:val="-4"/>
          <w:sz w:val="28"/>
          <w:szCs w:val="28"/>
        </w:rPr>
        <w:t>Чернівецького національного університету імені Юрія Федьковича</w:t>
      </w:r>
      <w:r>
        <w:rPr>
          <w:bCs/>
          <w:color w:val="000000" w:themeColor="text1"/>
          <w:spacing w:val="-4"/>
          <w:sz w:val="28"/>
          <w:szCs w:val="28"/>
        </w:rPr>
        <w:t xml:space="preserve">. </w:t>
      </w:r>
      <w:r>
        <w:rPr>
          <w:bCs/>
          <w:color w:val="000000" w:themeColor="text1"/>
          <w:sz w:val="28"/>
          <w:szCs w:val="28"/>
          <w:lang w:val="en-US"/>
        </w:rPr>
        <w:t>URL</w:t>
      </w:r>
      <w:r>
        <w:rPr>
          <w:bCs/>
          <w:color w:val="000000" w:themeColor="text1"/>
          <w:sz w:val="28"/>
          <w:szCs w:val="28"/>
        </w:rPr>
        <w:t>:</w:t>
      </w:r>
      <w:r w:rsidRPr="00F603A2">
        <w:rPr>
          <w:bCs/>
          <w:color w:val="000000" w:themeColor="text1"/>
          <w:sz w:val="28"/>
          <w:szCs w:val="28"/>
        </w:rPr>
        <w:t xml:space="preserve"> </w:t>
      </w:r>
      <w:hyperlink r:id="rId10" w:history="1">
        <w:r w:rsidRPr="00F603A2">
          <w:rPr>
            <w:rStyle w:val="a7"/>
            <w:bCs/>
            <w:color w:val="0070C0"/>
            <w:sz w:val="28"/>
            <w:szCs w:val="28"/>
          </w:rPr>
          <w:t>https://www.chnu.edu.ua/media/jxdbs0zb/etychnyi-kodeks-chernivets koho-natsionalnoho-universytetu.pdf</w:t>
        </w:r>
      </w:hyperlink>
      <w:r w:rsidRPr="00F603A2">
        <w:rPr>
          <w:rStyle w:val="a7"/>
          <w:bCs/>
          <w:sz w:val="28"/>
          <w:szCs w:val="28"/>
        </w:rPr>
        <w:t>;</w:t>
      </w:r>
    </w:p>
    <w:p w:rsidR="002E5CD8" w:rsidRPr="00F603A2" w:rsidRDefault="00F603A2" w:rsidP="00F603A2">
      <w:pPr>
        <w:pStyle w:val="a5"/>
        <w:numPr>
          <w:ilvl w:val="0"/>
          <w:numId w:val="2"/>
        </w:numPr>
        <w:tabs>
          <w:tab w:val="left" w:pos="851"/>
        </w:tabs>
        <w:ind w:left="0" w:firstLine="567"/>
        <w:rPr>
          <w:sz w:val="28"/>
          <w:szCs w:val="28"/>
        </w:rPr>
      </w:pPr>
      <w:r w:rsidRPr="00F603A2">
        <w:rPr>
          <w:bCs/>
          <w:color w:val="000000" w:themeColor="text1"/>
          <w:sz w:val="28"/>
          <w:szCs w:val="28"/>
        </w:rPr>
        <w:t xml:space="preserve">Положенням про виявлення та запобігання академічного плагіату у Чернівецькому національному університету імені Юрія Федьковича. </w:t>
      </w:r>
      <w:r w:rsidRPr="00F603A2">
        <w:rPr>
          <w:bCs/>
          <w:color w:val="000000" w:themeColor="text1"/>
          <w:sz w:val="28"/>
          <w:szCs w:val="28"/>
          <w:lang w:val="en-US"/>
        </w:rPr>
        <w:t>URL</w:t>
      </w:r>
      <w:r w:rsidRPr="00F603A2">
        <w:rPr>
          <w:bCs/>
          <w:color w:val="000000" w:themeColor="text1"/>
          <w:sz w:val="28"/>
          <w:szCs w:val="28"/>
        </w:rPr>
        <w:t>: </w:t>
      </w:r>
      <w:hyperlink r:id="rId11" w:history="1">
        <w:r w:rsidRPr="00F603A2">
          <w:rPr>
            <w:rStyle w:val="a7"/>
            <w:bCs/>
            <w:color w:val="0070C0"/>
            <w:sz w:val="28"/>
            <w:szCs w:val="28"/>
          </w:rPr>
          <w:t>https://www.chnu.edu.ua/media/n5nbzwgb/polozhennia-chnu-pro-plahi</w:t>
        </w:r>
      </w:hyperlink>
      <w:r w:rsidRPr="00F603A2">
        <w:rPr>
          <w:bCs/>
          <w:color w:val="0070C0"/>
          <w:sz w:val="28"/>
          <w:szCs w:val="28"/>
          <w:u w:val="single"/>
        </w:rPr>
        <w:t xml:space="preserve"> at-</w:t>
      </w:r>
      <w:r w:rsidRPr="00F603A2">
        <w:rPr>
          <w:bCs/>
          <w:color w:val="0070C0"/>
          <w:sz w:val="28"/>
          <w:szCs w:val="28"/>
          <w:u w:val="single"/>
        </w:rPr>
        <w:lastRenderedPageBreak/>
        <w:t>2023plusdodatky-31102023.pdf</w:t>
      </w:r>
      <w:r w:rsidRPr="00F603A2">
        <w:rPr>
          <w:bCs/>
          <w:color w:val="000000" w:themeColor="text1"/>
          <w:sz w:val="28"/>
          <w:szCs w:val="28"/>
        </w:rPr>
        <w:t>.</w:t>
      </w:r>
    </w:p>
    <w:p w:rsidR="002E5CD8" w:rsidRPr="00F603A2" w:rsidRDefault="002E5CD8" w:rsidP="00F603A2">
      <w:pPr>
        <w:widowControl w:val="0"/>
        <w:spacing w:after="0" w:line="240" w:lineRule="auto"/>
        <w:ind w:firstLine="567"/>
        <w:jc w:val="both"/>
        <w:rPr>
          <w:rFonts w:ascii="Times New Roman" w:hAnsi="Times New Roman" w:cs="Times New Roman"/>
          <w:sz w:val="28"/>
          <w:szCs w:val="28"/>
        </w:rPr>
      </w:pPr>
    </w:p>
    <w:p w:rsidR="009B2B9B" w:rsidRPr="00F603A2" w:rsidRDefault="00F603A2" w:rsidP="00F603A2">
      <w:pPr>
        <w:widowControl w:val="0"/>
        <w:spacing w:after="0" w:line="240" w:lineRule="auto"/>
        <w:jc w:val="center"/>
        <w:rPr>
          <w:rFonts w:ascii="Times New Roman" w:hAnsi="Times New Roman" w:cs="Times New Roman"/>
          <w:b/>
          <w:caps/>
          <w:sz w:val="28"/>
          <w:szCs w:val="28"/>
        </w:rPr>
      </w:pPr>
      <w:r w:rsidRPr="00F603A2">
        <w:rPr>
          <w:rFonts w:ascii="Times New Roman" w:hAnsi="Times New Roman" w:cs="Times New Roman"/>
          <w:b/>
          <w:caps/>
          <w:sz w:val="28"/>
          <w:szCs w:val="28"/>
        </w:rPr>
        <w:t>Інформаційні ресурси</w:t>
      </w:r>
    </w:p>
    <w:p w:rsidR="00672B4B" w:rsidRPr="007B1373" w:rsidRDefault="00672B4B" w:rsidP="00672B4B">
      <w:pPr>
        <w:pStyle w:val="a5"/>
        <w:tabs>
          <w:tab w:val="left" w:pos="709"/>
          <w:tab w:val="left" w:pos="993"/>
        </w:tabs>
        <w:ind w:left="0" w:firstLine="567"/>
        <w:rPr>
          <w:sz w:val="28"/>
          <w:szCs w:val="28"/>
        </w:rPr>
      </w:pPr>
      <w:r w:rsidRPr="007B1373">
        <w:rPr>
          <w:sz w:val="28"/>
          <w:szCs w:val="28"/>
        </w:rPr>
        <w:t>Академічні ресурси:</w:t>
      </w:r>
    </w:p>
    <w:p w:rsidR="00672B4B" w:rsidRPr="007B1373" w:rsidRDefault="00672B4B" w:rsidP="00672B4B">
      <w:pPr>
        <w:pStyle w:val="a5"/>
        <w:tabs>
          <w:tab w:val="left" w:pos="709"/>
          <w:tab w:val="left" w:pos="993"/>
        </w:tabs>
        <w:ind w:left="0" w:firstLine="567"/>
        <w:rPr>
          <w:sz w:val="28"/>
          <w:szCs w:val="28"/>
        </w:rPr>
      </w:pPr>
      <w:r w:rsidRPr="007B1373">
        <w:rPr>
          <w:sz w:val="28"/>
          <w:szCs w:val="28"/>
        </w:rPr>
        <w:t>1. Репозитарій академічних статей, таких як Google Scholar або ResearchGate, для пошуку актуальних наукових досліджень та публікацій з курсу</w:t>
      </w:r>
      <w:r>
        <w:rPr>
          <w:sz w:val="28"/>
          <w:szCs w:val="28"/>
        </w:rPr>
        <w:t>.</w:t>
      </w:r>
    </w:p>
    <w:p w:rsidR="00672B4B" w:rsidRPr="007B1373" w:rsidRDefault="00672B4B" w:rsidP="00672B4B">
      <w:pPr>
        <w:pStyle w:val="a5"/>
        <w:tabs>
          <w:tab w:val="left" w:pos="709"/>
          <w:tab w:val="left" w:pos="993"/>
        </w:tabs>
        <w:ind w:left="0" w:firstLine="567"/>
        <w:rPr>
          <w:sz w:val="28"/>
          <w:szCs w:val="28"/>
        </w:rPr>
      </w:pPr>
      <w:r w:rsidRPr="007B1373">
        <w:rPr>
          <w:sz w:val="28"/>
          <w:szCs w:val="28"/>
        </w:rPr>
        <w:t xml:space="preserve">2. Archer </w:t>
      </w:r>
      <w:r>
        <w:rPr>
          <w:sz w:val="28"/>
          <w:szCs w:val="28"/>
        </w:rPr>
        <w:t>–</w:t>
      </w:r>
      <w:r w:rsidRPr="007B1373">
        <w:rPr>
          <w:sz w:val="28"/>
          <w:szCs w:val="28"/>
        </w:rPr>
        <w:t xml:space="preserve"> інституційний репозитарій відкритого доступу представників Чернівецького національного університету імені Юрія Федьковича. URL: </w:t>
      </w:r>
      <w:hyperlink r:id="rId12" w:history="1">
        <w:r w:rsidRPr="00A50CC9">
          <w:rPr>
            <w:rStyle w:val="a7"/>
            <w:sz w:val="28"/>
            <w:szCs w:val="28"/>
          </w:rPr>
          <w:t>https://archer.chnu.edu.ua</w:t>
        </w:r>
      </w:hyperlink>
      <w:r w:rsidRPr="007B1373">
        <w:rPr>
          <w:sz w:val="28"/>
          <w:szCs w:val="28"/>
        </w:rPr>
        <w:t>.</w:t>
      </w:r>
    </w:p>
    <w:p w:rsidR="00672B4B" w:rsidRPr="007B1373" w:rsidRDefault="00672B4B" w:rsidP="00672B4B">
      <w:pPr>
        <w:pStyle w:val="a5"/>
        <w:tabs>
          <w:tab w:val="left" w:pos="709"/>
          <w:tab w:val="left" w:pos="993"/>
        </w:tabs>
        <w:ind w:left="0" w:firstLine="567"/>
        <w:rPr>
          <w:sz w:val="28"/>
          <w:szCs w:val="28"/>
        </w:rPr>
      </w:pPr>
      <w:r w:rsidRPr="007B1373">
        <w:rPr>
          <w:sz w:val="28"/>
          <w:szCs w:val="28"/>
        </w:rPr>
        <w:t>Офіційні сайти органів державного управління України:</w:t>
      </w:r>
    </w:p>
    <w:p w:rsidR="00486B62" w:rsidRPr="005910A5" w:rsidRDefault="00486B62" w:rsidP="00486B62">
      <w:pPr>
        <w:pStyle w:val="a5"/>
        <w:numPr>
          <w:ilvl w:val="0"/>
          <w:numId w:val="4"/>
        </w:numPr>
        <w:tabs>
          <w:tab w:val="left" w:pos="851"/>
          <w:tab w:val="left" w:pos="980"/>
        </w:tabs>
        <w:autoSpaceDE/>
        <w:autoSpaceDN/>
        <w:ind w:left="0" w:firstLine="567"/>
        <w:contextualSpacing/>
        <w:rPr>
          <w:sz w:val="28"/>
          <w:szCs w:val="28"/>
        </w:rPr>
      </w:pPr>
      <w:r w:rsidRPr="005910A5">
        <w:rPr>
          <w:sz w:val="28"/>
        </w:rPr>
        <w:t>Офіційний</w:t>
      </w:r>
      <w:r>
        <w:rPr>
          <w:sz w:val="28"/>
        </w:rPr>
        <w:t xml:space="preserve"> </w:t>
      </w:r>
      <w:r w:rsidRPr="005910A5">
        <w:rPr>
          <w:sz w:val="28"/>
        </w:rPr>
        <w:t>сайт</w:t>
      </w:r>
      <w:r>
        <w:rPr>
          <w:sz w:val="28"/>
          <w:szCs w:val="28"/>
        </w:rPr>
        <w:t xml:space="preserve"> </w:t>
      </w:r>
      <w:r w:rsidRPr="005910A5">
        <w:rPr>
          <w:sz w:val="28"/>
          <w:szCs w:val="28"/>
        </w:rPr>
        <w:t>Верховної</w:t>
      </w:r>
      <w:r>
        <w:rPr>
          <w:sz w:val="28"/>
          <w:szCs w:val="28"/>
        </w:rPr>
        <w:t xml:space="preserve"> </w:t>
      </w:r>
      <w:r w:rsidRPr="005910A5">
        <w:rPr>
          <w:sz w:val="28"/>
          <w:szCs w:val="28"/>
        </w:rPr>
        <w:t>Ради</w:t>
      </w:r>
      <w:r>
        <w:rPr>
          <w:sz w:val="28"/>
          <w:szCs w:val="28"/>
        </w:rPr>
        <w:t xml:space="preserve"> </w:t>
      </w:r>
      <w:r w:rsidRPr="005910A5">
        <w:rPr>
          <w:sz w:val="28"/>
          <w:szCs w:val="28"/>
        </w:rPr>
        <w:t>України.</w:t>
      </w:r>
      <w:r>
        <w:rPr>
          <w:sz w:val="28"/>
          <w:szCs w:val="28"/>
        </w:rPr>
        <w:t xml:space="preserve"> </w:t>
      </w:r>
      <w:r w:rsidRPr="005910A5">
        <w:rPr>
          <w:sz w:val="28"/>
        </w:rPr>
        <w:t>URL:</w:t>
      </w:r>
      <w:r>
        <w:rPr>
          <w:sz w:val="28"/>
          <w:szCs w:val="28"/>
        </w:rPr>
        <w:t xml:space="preserve"> </w:t>
      </w:r>
      <w:hyperlink r:id="rId13" w:history="1">
        <w:r w:rsidRPr="00835E10">
          <w:rPr>
            <w:rStyle w:val="a7"/>
            <w:sz w:val="28"/>
          </w:rPr>
          <w:t>www.rada.gov.ua</w:t>
        </w:r>
        <w:r w:rsidRPr="00835E10">
          <w:rPr>
            <w:rStyle w:val="a7"/>
            <w:sz w:val="28"/>
            <w:lang w:val="en-US"/>
          </w:rPr>
          <w:t>/</w:t>
        </w:r>
      </w:hyperlink>
      <w:r w:rsidRPr="005910A5">
        <w:rPr>
          <w:sz w:val="28"/>
          <w:szCs w:val="28"/>
        </w:rPr>
        <w:t>.</w:t>
      </w:r>
      <w:r>
        <w:rPr>
          <w:sz w:val="28"/>
          <w:szCs w:val="28"/>
        </w:rPr>
        <w:t xml:space="preserve">  </w:t>
      </w:r>
    </w:p>
    <w:p w:rsidR="00486B62" w:rsidRDefault="00486B62" w:rsidP="00486B62">
      <w:pPr>
        <w:pStyle w:val="a5"/>
        <w:numPr>
          <w:ilvl w:val="0"/>
          <w:numId w:val="4"/>
        </w:numPr>
        <w:tabs>
          <w:tab w:val="left" w:pos="851"/>
          <w:tab w:val="left" w:pos="980"/>
        </w:tabs>
        <w:autoSpaceDE/>
        <w:autoSpaceDN/>
        <w:ind w:left="0" w:firstLine="567"/>
        <w:contextualSpacing/>
        <w:rPr>
          <w:sz w:val="28"/>
          <w:szCs w:val="28"/>
        </w:rPr>
      </w:pPr>
      <w:r>
        <w:rPr>
          <w:sz w:val="28"/>
          <w:szCs w:val="28"/>
        </w:rPr>
        <w:t xml:space="preserve">Офіційний сайт Кабінету Міністрів України. </w:t>
      </w:r>
      <w:r w:rsidRPr="005910A5">
        <w:rPr>
          <w:sz w:val="28"/>
        </w:rPr>
        <w:t>URL:</w:t>
      </w:r>
      <w:r>
        <w:rPr>
          <w:sz w:val="28"/>
        </w:rPr>
        <w:t xml:space="preserve"> </w:t>
      </w:r>
      <w:hyperlink r:id="rId14" w:history="1">
        <w:r w:rsidRPr="00835E10">
          <w:rPr>
            <w:rStyle w:val="a7"/>
            <w:sz w:val="28"/>
          </w:rPr>
          <w:t>https://www.kmu.gov.ua</w:t>
        </w:r>
      </w:hyperlink>
      <w:r>
        <w:rPr>
          <w:sz w:val="28"/>
        </w:rPr>
        <w:t xml:space="preserve">. </w:t>
      </w:r>
    </w:p>
    <w:p w:rsidR="00486B62" w:rsidRDefault="00486B62" w:rsidP="00486B62">
      <w:pPr>
        <w:pStyle w:val="a5"/>
        <w:numPr>
          <w:ilvl w:val="0"/>
          <w:numId w:val="4"/>
        </w:numPr>
        <w:tabs>
          <w:tab w:val="left" w:pos="851"/>
          <w:tab w:val="left" w:pos="980"/>
        </w:tabs>
        <w:autoSpaceDE/>
        <w:autoSpaceDN/>
        <w:ind w:left="0" w:firstLine="567"/>
        <w:contextualSpacing/>
        <w:rPr>
          <w:sz w:val="28"/>
          <w:szCs w:val="28"/>
        </w:rPr>
      </w:pPr>
      <w:r>
        <w:rPr>
          <w:sz w:val="28"/>
          <w:szCs w:val="28"/>
        </w:rPr>
        <w:t xml:space="preserve">Офіційний сайт Державної казначейської служби України. </w:t>
      </w:r>
      <w:r w:rsidRPr="005910A5">
        <w:rPr>
          <w:sz w:val="28"/>
        </w:rPr>
        <w:t>URL:</w:t>
      </w:r>
      <w:r>
        <w:rPr>
          <w:sz w:val="28"/>
        </w:rPr>
        <w:t xml:space="preserve"> </w:t>
      </w:r>
      <w:hyperlink r:id="rId15" w:history="1">
        <w:r w:rsidRPr="00835E10">
          <w:rPr>
            <w:rStyle w:val="a7"/>
            <w:sz w:val="28"/>
          </w:rPr>
          <w:t>https://www.treasury.gov.ua</w:t>
        </w:r>
      </w:hyperlink>
      <w:r>
        <w:rPr>
          <w:sz w:val="28"/>
        </w:rPr>
        <w:t xml:space="preserve">. </w:t>
      </w:r>
    </w:p>
    <w:p w:rsidR="00486B62" w:rsidRDefault="00486B62" w:rsidP="00486B62">
      <w:pPr>
        <w:pStyle w:val="a5"/>
        <w:numPr>
          <w:ilvl w:val="0"/>
          <w:numId w:val="4"/>
        </w:numPr>
        <w:tabs>
          <w:tab w:val="left" w:pos="851"/>
          <w:tab w:val="left" w:pos="980"/>
        </w:tabs>
        <w:autoSpaceDE/>
        <w:autoSpaceDN/>
        <w:ind w:left="0" w:firstLine="567"/>
        <w:contextualSpacing/>
        <w:rPr>
          <w:sz w:val="28"/>
          <w:szCs w:val="28"/>
        </w:rPr>
      </w:pPr>
      <w:r>
        <w:rPr>
          <w:sz w:val="28"/>
          <w:szCs w:val="28"/>
        </w:rPr>
        <w:t xml:space="preserve">Офіційний сайт Державної митної служби України. </w:t>
      </w:r>
      <w:r w:rsidRPr="005910A5">
        <w:rPr>
          <w:sz w:val="28"/>
        </w:rPr>
        <w:t>URL:</w:t>
      </w:r>
      <w:r>
        <w:rPr>
          <w:sz w:val="28"/>
        </w:rPr>
        <w:t xml:space="preserve"> </w:t>
      </w:r>
      <w:hyperlink r:id="rId16" w:history="1">
        <w:r w:rsidRPr="00835E10">
          <w:rPr>
            <w:rStyle w:val="a7"/>
            <w:sz w:val="28"/>
          </w:rPr>
          <w:t>https://customs.gov.ua</w:t>
        </w:r>
      </w:hyperlink>
      <w:r>
        <w:rPr>
          <w:sz w:val="28"/>
        </w:rPr>
        <w:t xml:space="preserve">. </w:t>
      </w:r>
    </w:p>
    <w:p w:rsidR="00486B62" w:rsidRDefault="00486B62" w:rsidP="00486B62">
      <w:pPr>
        <w:pStyle w:val="a5"/>
        <w:numPr>
          <w:ilvl w:val="0"/>
          <w:numId w:val="4"/>
        </w:numPr>
        <w:tabs>
          <w:tab w:val="left" w:pos="851"/>
          <w:tab w:val="left" w:pos="980"/>
        </w:tabs>
        <w:autoSpaceDE/>
        <w:autoSpaceDN/>
        <w:ind w:left="0" w:firstLine="567"/>
        <w:contextualSpacing/>
        <w:rPr>
          <w:sz w:val="28"/>
          <w:szCs w:val="28"/>
        </w:rPr>
      </w:pPr>
      <w:r>
        <w:rPr>
          <w:sz w:val="28"/>
          <w:szCs w:val="28"/>
        </w:rPr>
        <w:t xml:space="preserve">Офіційний сайт Державної податкової служби України. </w:t>
      </w:r>
      <w:r w:rsidRPr="005910A5">
        <w:rPr>
          <w:sz w:val="28"/>
        </w:rPr>
        <w:t>URL:</w:t>
      </w:r>
      <w:r>
        <w:rPr>
          <w:sz w:val="28"/>
        </w:rPr>
        <w:t xml:space="preserve"> </w:t>
      </w:r>
      <w:hyperlink r:id="rId17" w:history="1">
        <w:r w:rsidRPr="00835E10">
          <w:rPr>
            <w:rStyle w:val="a7"/>
            <w:sz w:val="28"/>
          </w:rPr>
          <w:t>https://tax.gov.ua</w:t>
        </w:r>
      </w:hyperlink>
      <w:r>
        <w:rPr>
          <w:sz w:val="28"/>
        </w:rPr>
        <w:t xml:space="preserve">. </w:t>
      </w:r>
    </w:p>
    <w:p w:rsidR="00F603A2" w:rsidRPr="00486B62" w:rsidRDefault="00486B62" w:rsidP="000B423B">
      <w:pPr>
        <w:pStyle w:val="a5"/>
        <w:numPr>
          <w:ilvl w:val="0"/>
          <w:numId w:val="4"/>
        </w:numPr>
        <w:tabs>
          <w:tab w:val="left" w:pos="851"/>
          <w:tab w:val="left" w:pos="980"/>
        </w:tabs>
        <w:autoSpaceDE/>
        <w:autoSpaceDN/>
        <w:ind w:left="0" w:firstLine="567"/>
        <w:contextualSpacing/>
        <w:rPr>
          <w:sz w:val="28"/>
          <w:szCs w:val="28"/>
        </w:rPr>
      </w:pPr>
      <w:r w:rsidRPr="00486B62">
        <w:rPr>
          <w:sz w:val="28"/>
        </w:rPr>
        <w:t>Офіційний сайт</w:t>
      </w:r>
      <w:r w:rsidRPr="00486B62">
        <w:rPr>
          <w:sz w:val="28"/>
          <w:szCs w:val="28"/>
        </w:rPr>
        <w:t xml:space="preserve"> Міністерства фінансів України. </w:t>
      </w:r>
      <w:r w:rsidRPr="00486B62">
        <w:rPr>
          <w:sz w:val="28"/>
        </w:rPr>
        <w:t xml:space="preserve">URL: </w:t>
      </w:r>
      <w:hyperlink r:id="rId18" w:history="1">
        <w:r w:rsidRPr="00486B62">
          <w:rPr>
            <w:rStyle w:val="a7"/>
            <w:sz w:val="28"/>
            <w:szCs w:val="28"/>
          </w:rPr>
          <w:t>www.minfin.gov.ua</w:t>
        </w:r>
      </w:hyperlink>
      <w:r w:rsidRPr="00486B62">
        <w:rPr>
          <w:sz w:val="28"/>
        </w:rPr>
        <w:t xml:space="preserve">. </w:t>
      </w:r>
    </w:p>
    <w:p w:rsidR="00F603A2" w:rsidRDefault="00F603A2" w:rsidP="00E34EE3">
      <w:pPr>
        <w:widowControl w:val="0"/>
        <w:spacing w:after="0" w:line="240" w:lineRule="auto"/>
        <w:jc w:val="both"/>
        <w:rPr>
          <w:rFonts w:ascii="Times New Roman" w:hAnsi="Times New Roman" w:cs="Times New Roman"/>
          <w:sz w:val="28"/>
          <w:szCs w:val="28"/>
        </w:rPr>
      </w:pPr>
    </w:p>
    <w:p w:rsidR="00486B62" w:rsidRDefault="00486B62" w:rsidP="00E34EE3">
      <w:pPr>
        <w:widowControl w:val="0"/>
        <w:spacing w:after="0" w:line="240" w:lineRule="auto"/>
        <w:jc w:val="both"/>
        <w:rPr>
          <w:rFonts w:ascii="Times New Roman" w:hAnsi="Times New Roman" w:cs="Times New Roman"/>
          <w:sz w:val="28"/>
          <w:szCs w:val="28"/>
        </w:rPr>
      </w:pPr>
    </w:p>
    <w:p w:rsidR="00F603A2" w:rsidRPr="00486B62" w:rsidRDefault="00F603A2" w:rsidP="00F603A2">
      <w:pPr>
        <w:widowControl w:val="0"/>
        <w:spacing w:after="0" w:line="240" w:lineRule="auto"/>
        <w:jc w:val="center"/>
        <w:rPr>
          <w:rFonts w:ascii="Times New Roman" w:hAnsi="Times New Roman" w:cs="Times New Roman"/>
          <w:sz w:val="28"/>
          <w:szCs w:val="28"/>
        </w:rPr>
      </w:pPr>
      <w:r w:rsidRPr="00486B62">
        <w:rPr>
          <w:rFonts w:ascii="Times New Roman" w:hAnsi="Times New Roman"/>
          <w:b/>
          <w:bCs/>
          <w:i/>
          <w:iCs/>
          <w:sz w:val="28"/>
          <w:szCs w:val="28"/>
        </w:rPr>
        <w:t>Детальна інформація щодо вивчення курсу «</w:t>
      </w:r>
      <w:r w:rsidR="00874AB2">
        <w:rPr>
          <w:rFonts w:ascii="Times New Roman" w:hAnsi="Times New Roman"/>
          <w:b/>
          <w:bCs/>
          <w:i/>
          <w:iCs/>
          <w:sz w:val="28"/>
          <w:szCs w:val="28"/>
        </w:rPr>
        <w:t xml:space="preserve">Міжнародні стандарти </w:t>
      </w:r>
      <w:r w:rsidR="007E2A31">
        <w:rPr>
          <w:rFonts w:ascii="Times New Roman" w:hAnsi="Times New Roman"/>
          <w:b/>
          <w:bCs/>
          <w:i/>
          <w:iCs/>
          <w:sz w:val="28"/>
          <w:szCs w:val="28"/>
        </w:rPr>
        <w:t>фінансової звітності</w:t>
      </w:r>
      <w:r w:rsidRPr="00486B62">
        <w:rPr>
          <w:rFonts w:ascii="Times New Roman" w:hAnsi="Times New Roman"/>
          <w:b/>
          <w:bCs/>
          <w:i/>
          <w:iCs/>
          <w:sz w:val="28"/>
          <w:szCs w:val="28"/>
        </w:rPr>
        <w:t>»</w:t>
      </w:r>
      <w:r w:rsidRPr="00486B62">
        <w:rPr>
          <w:rFonts w:ascii="Times New Roman" w:hAnsi="Times New Roman"/>
          <w:bCs/>
          <w:i/>
          <w:iCs/>
          <w:sz w:val="28"/>
          <w:szCs w:val="28"/>
        </w:rPr>
        <w:t xml:space="preserve"> </w:t>
      </w:r>
      <w:r w:rsidR="00486B62">
        <w:rPr>
          <w:rFonts w:ascii="Times New Roman" w:hAnsi="Times New Roman"/>
          <w:b/>
          <w:bCs/>
          <w:i/>
          <w:iCs/>
          <w:sz w:val="28"/>
          <w:szCs w:val="28"/>
        </w:rPr>
        <w:t xml:space="preserve">висвітлена у робочій програмі </w:t>
      </w:r>
      <w:r w:rsidRPr="00486B62">
        <w:rPr>
          <w:rFonts w:ascii="Times New Roman" w:hAnsi="Times New Roman"/>
          <w:b/>
          <w:bCs/>
          <w:i/>
          <w:iCs/>
          <w:sz w:val="28"/>
          <w:szCs w:val="28"/>
        </w:rPr>
        <w:t>навчальної дисципліни</w:t>
      </w:r>
    </w:p>
    <w:p w:rsidR="00EF7B16" w:rsidRPr="00874AB2" w:rsidRDefault="00F603A2" w:rsidP="00F603A2">
      <w:pPr>
        <w:widowControl w:val="0"/>
        <w:spacing w:after="0" w:line="240" w:lineRule="auto"/>
        <w:jc w:val="center"/>
        <w:rPr>
          <w:rFonts w:ascii="Times New Roman" w:hAnsi="Times New Roman" w:cs="Times New Roman"/>
          <w:sz w:val="28"/>
          <w:szCs w:val="28"/>
        </w:rPr>
      </w:pPr>
      <w:r w:rsidRPr="00874AB2">
        <w:rPr>
          <w:rFonts w:ascii="Times New Roman" w:hAnsi="Times New Roman" w:cs="Times New Roman"/>
          <w:sz w:val="28"/>
          <w:szCs w:val="28"/>
        </w:rPr>
        <w:t>(</w:t>
      </w:r>
      <w:hyperlink r:id="rId19" w:history="1">
        <w:r w:rsidR="00874AB2" w:rsidRPr="00295782">
          <w:rPr>
            <w:rStyle w:val="a7"/>
            <w:rFonts w:ascii="Times New Roman" w:hAnsi="Times New Roman" w:cs="Times New Roman"/>
            <w:sz w:val="28"/>
            <w:szCs w:val="28"/>
          </w:rPr>
          <w:t>https://drive.google.com/drive/folders/1B1pUSSFmyizwUHxYYeVfXv5ydQ28aYqA</w:t>
        </w:r>
      </w:hyperlink>
      <w:r w:rsidRPr="00874AB2">
        <w:rPr>
          <w:rFonts w:ascii="Times New Roman" w:hAnsi="Times New Roman" w:cs="Times New Roman"/>
          <w:sz w:val="28"/>
          <w:szCs w:val="28"/>
        </w:rPr>
        <w:t>)</w:t>
      </w:r>
      <w:r w:rsidR="00874AB2">
        <w:rPr>
          <w:rFonts w:ascii="Times New Roman" w:hAnsi="Times New Roman" w:cs="Times New Roman"/>
          <w:sz w:val="28"/>
          <w:szCs w:val="28"/>
        </w:rPr>
        <w:t xml:space="preserve"> </w:t>
      </w:r>
      <w:r w:rsidR="00874AB2" w:rsidRPr="00874AB2">
        <w:rPr>
          <w:rFonts w:ascii="Times New Roman" w:hAnsi="Times New Roman" w:cs="Times New Roman"/>
          <w:sz w:val="28"/>
          <w:szCs w:val="28"/>
        </w:rPr>
        <w:t xml:space="preserve"> </w:t>
      </w:r>
    </w:p>
    <w:p w:rsidR="00E34EE3" w:rsidRPr="00E34EE3" w:rsidRDefault="00E34EE3"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sectPr w:rsidR="00E34EE3" w:rsidRPr="00E34E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Semilight">
    <w:charset w:val="81"/>
    <w:family w:val="swiss"/>
    <w:pitch w:val="variable"/>
    <w:sig w:usb0="B0000AAF" w:usb1="09DF7CFB" w:usb2="00000012" w:usb3="00000000" w:csb0="003E01BD"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2B9"/>
    <w:multiLevelType w:val="hybridMultilevel"/>
    <w:tmpl w:val="B64AE15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07737A07"/>
    <w:multiLevelType w:val="hybridMultilevel"/>
    <w:tmpl w:val="FBD8293C"/>
    <w:lvl w:ilvl="0" w:tplc="704EBE50">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1D16957"/>
    <w:multiLevelType w:val="hybridMultilevel"/>
    <w:tmpl w:val="011CFA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A847122"/>
    <w:multiLevelType w:val="hybridMultilevel"/>
    <w:tmpl w:val="38324126"/>
    <w:lvl w:ilvl="0" w:tplc="041C26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5A"/>
    <w:rsid w:val="000204E0"/>
    <w:rsid w:val="001063FA"/>
    <w:rsid w:val="002E5CD8"/>
    <w:rsid w:val="004139CC"/>
    <w:rsid w:val="00427B40"/>
    <w:rsid w:val="00486B62"/>
    <w:rsid w:val="005961AA"/>
    <w:rsid w:val="00672B4B"/>
    <w:rsid w:val="006A0000"/>
    <w:rsid w:val="007E2A31"/>
    <w:rsid w:val="00874AB2"/>
    <w:rsid w:val="009852F3"/>
    <w:rsid w:val="009876D7"/>
    <w:rsid w:val="009B2B9B"/>
    <w:rsid w:val="00D3198C"/>
    <w:rsid w:val="00D96168"/>
    <w:rsid w:val="00E34EE3"/>
    <w:rsid w:val="00EC155A"/>
    <w:rsid w:val="00EE2923"/>
    <w:rsid w:val="00EE6408"/>
    <w:rsid w:val="00EF7B16"/>
    <w:rsid w:val="00F1290D"/>
    <w:rsid w:val="00F603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E5C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link w:val="a6"/>
    <w:uiPriority w:val="34"/>
    <w:qFormat/>
    <w:rsid w:val="00F603A2"/>
    <w:pPr>
      <w:widowControl w:val="0"/>
      <w:autoSpaceDE w:val="0"/>
      <w:autoSpaceDN w:val="0"/>
      <w:spacing w:after="0" w:line="240" w:lineRule="auto"/>
      <w:ind w:left="859" w:hanging="360"/>
      <w:jc w:val="both"/>
    </w:pPr>
    <w:rPr>
      <w:rFonts w:ascii="Times New Roman" w:eastAsia="Times New Roman" w:hAnsi="Times New Roman" w:cs="Times New Roman"/>
    </w:rPr>
  </w:style>
  <w:style w:type="character" w:styleId="a7">
    <w:name w:val="Hyperlink"/>
    <w:basedOn w:val="a0"/>
    <w:uiPriority w:val="99"/>
    <w:unhideWhenUsed/>
    <w:rsid w:val="00F603A2"/>
    <w:rPr>
      <w:color w:val="0563C1" w:themeColor="hyperlink"/>
      <w:u w:val="single"/>
    </w:rPr>
  </w:style>
  <w:style w:type="character" w:customStyle="1" w:styleId="a6">
    <w:name w:val="Абзац списка Знак"/>
    <w:link w:val="a5"/>
    <w:uiPriority w:val="34"/>
    <w:locked/>
    <w:rsid w:val="00672B4B"/>
    <w:rPr>
      <w:rFonts w:ascii="Times New Roman" w:eastAsia="Times New Roman" w:hAnsi="Times New Roman" w:cs="Times New Roman"/>
    </w:rPr>
  </w:style>
  <w:style w:type="paragraph" w:customStyle="1" w:styleId="Default">
    <w:name w:val="Default"/>
    <w:rsid w:val="004139C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8">
    <w:name w:val="FollowedHyperlink"/>
    <w:basedOn w:val="a0"/>
    <w:uiPriority w:val="99"/>
    <w:semiHidden/>
    <w:unhideWhenUsed/>
    <w:rsid w:val="00874AB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E5C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link w:val="a6"/>
    <w:uiPriority w:val="34"/>
    <w:qFormat/>
    <w:rsid w:val="00F603A2"/>
    <w:pPr>
      <w:widowControl w:val="0"/>
      <w:autoSpaceDE w:val="0"/>
      <w:autoSpaceDN w:val="0"/>
      <w:spacing w:after="0" w:line="240" w:lineRule="auto"/>
      <w:ind w:left="859" w:hanging="360"/>
      <w:jc w:val="both"/>
    </w:pPr>
    <w:rPr>
      <w:rFonts w:ascii="Times New Roman" w:eastAsia="Times New Roman" w:hAnsi="Times New Roman" w:cs="Times New Roman"/>
    </w:rPr>
  </w:style>
  <w:style w:type="character" w:styleId="a7">
    <w:name w:val="Hyperlink"/>
    <w:basedOn w:val="a0"/>
    <w:uiPriority w:val="99"/>
    <w:unhideWhenUsed/>
    <w:rsid w:val="00F603A2"/>
    <w:rPr>
      <w:color w:val="0563C1" w:themeColor="hyperlink"/>
      <w:u w:val="single"/>
    </w:rPr>
  </w:style>
  <w:style w:type="character" w:customStyle="1" w:styleId="a6">
    <w:name w:val="Абзац списка Знак"/>
    <w:link w:val="a5"/>
    <w:uiPriority w:val="34"/>
    <w:locked/>
    <w:rsid w:val="00672B4B"/>
    <w:rPr>
      <w:rFonts w:ascii="Times New Roman" w:eastAsia="Times New Roman" w:hAnsi="Times New Roman" w:cs="Times New Roman"/>
    </w:rPr>
  </w:style>
  <w:style w:type="paragraph" w:customStyle="1" w:styleId="Default">
    <w:name w:val="Default"/>
    <w:rsid w:val="004139C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8">
    <w:name w:val="FollowedHyperlink"/>
    <w:basedOn w:val="a0"/>
    <w:uiPriority w:val="99"/>
    <w:semiHidden/>
    <w:unhideWhenUsed/>
    <w:rsid w:val="00874A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anasiyeva@chnu.edu.ua" TargetMode="External"/><Relationship Id="rId13" Type="http://schemas.openxmlformats.org/officeDocument/2006/relationships/hyperlink" Target="http://www.rada.gov.ua/" TargetMode="External"/><Relationship Id="rId18" Type="http://schemas.openxmlformats.org/officeDocument/2006/relationships/hyperlink" Target="http://www.minfin.gov.u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econom.chnu.edu.ua/kafedry-ekonomichnogo-fakultetu/kafedra-obliku-analizu-i-audytu/kolektyv-kafedry/tanasiyeva-maryna-mykolayivna" TargetMode="External"/><Relationship Id="rId12" Type="http://schemas.openxmlformats.org/officeDocument/2006/relationships/hyperlink" Target="https://archer.chnu.edu.ua" TargetMode="External"/><Relationship Id="rId17" Type="http://schemas.openxmlformats.org/officeDocument/2006/relationships/hyperlink" Target="https://tax.gov.ua" TargetMode="External"/><Relationship Id="rId2" Type="http://schemas.openxmlformats.org/officeDocument/2006/relationships/styles" Target="styles.xml"/><Relationship Id="rId16" Type="http://schemas.openxmlformats.org/officeDocument/2006/relationships/hyperlink" Target="https://customs.gov.u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hnu.edu.ua/media/n5nbzwgb/polozhennia-chnu-pro-plahi" TargetMode="External"/><Relationship Id="rId5" Type="http://schemas.openxmlformats.org/officeDocument/2006/relationships/webSettings" Target="webSettings.xml"/><Relationship Id="rId15" Type="http://schemas.openxmlformats.org/officeDocument/2006/relationships/hyperlink" Target="https://www.treasury.gov.ua" TargetMode="External"/><Relationship Id="rId10" Type="http://schemas.openxmlformats.org/officeDocument/2006/relationships/hyperlink" Target="https://www.chnu.edu.ua/media/jxdbs0zb/etychnyi-kodeks-chernivets%20koho-natsionalnoho-universytetu.pdf" TargetMode="External"/><Relationship Id="rId19" Type="http://schemas.openxmlformats.org/officeDocument/2006/relationships/hyperlink" Target="https://drive.google.com/drive/folders/1B1pUSSFmyizwUHxYYeVfXv5ydQ28aYqA" TargetMode="External"/><Relationship Id="rId4" Type="http://schemas.openxmlformats.org/officeDocument/2006/relationships/settings" Target="settings.xml"/><Relationship Id="rId9" Type="http://schemas.openxmlformats.org/officeDocument/2006/relationships/hyperlink" Target="https://moodle.chnu.edu.ua/course/view.php?id=2771" TargetMode="External"/><Relationship Id="rId14" Type="http://schemas.openxmlformats.org/officeDocument/2006/relationships/hyperlink" Target="https://www.km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1244</TotalTime>
  <Pages>3</Pages>
  <Words>4370</Words>
  <Characters>2492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14</cp:revision>
  <dcterms:created xsi:type="dcterms:W3CDTF">2024-08-07T10:36:00Z</dcterms:created>
  <dcterms:modified xsi:type="dcterms:W3CDTF">2024-08-25T09:37:00Z</dcterms:modified>
</cp:coreProperties>
</file>